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71" w:rsidRPr="00310690" w:rsidRDefault="00951A71" w:rsidP="009270F2">
      <w:pPr>
        <w:widowControl/>
        <w:autoSpaceDE/>
        <w:autoSpaceDN/>
        <w:adjustRightInd/>
        <w:jc w:val="left"/>
        <w:rPr>
          <w:rFonts w:cs="Arial"/>
          <w:bCs/>
        </w:rPr>
      </w:pPr>
      <w:r w:rsidRPr="00310690">
        <w:rPr>
          <w:rFonts w:cs="Arial"/>
          <w:sz w:val="20"/>
        </w:rPr>
        <w:t xml:space="preserve">   </w:t>
      </w:r>
      <w:r w:rsidR="00CE4AC6" w:rsidRPr="00310690">
        <w:rPr>
          <w:rFonts w:cs="Arial"/>
          <w:sz w:val="20"/>
        </w:rPr>
        <w:t xml:space="preserve">          </w:t>
      </w:r>
      <w:r w:rsidRPr="00310690">
        <w:rPr>
          <w:rFonts w:cs="Arial"/>
          <w:sz w:val="20"/>
        </w:rPr>
        <w:t xml:space="preserve">      </w:t>
      </w:r>
      <w:r w:rsidRPr="00310690">
        <w:rPr>
          <w:rFonts w:cs="Arial"/>
          <w:noProof/>
          <w:sz w:val="20"/>
        </w:rPr>
        <w:drawing>
          <wp:inline distT="0" distB="0" distL="0" distR="0" wp14:anchorId="76F2D4E6" wp14:editId="5CDE8007">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rsidR="00951A71" w:rsidRPr="00310690" w:rsidRDefault="00951A71" w:rsidP="009270F2">
      <w:pPr>
        <w:widowControl/>
        <w:autoSpaceDE/>
        <w:autoSpaceDN/>
        <w:adjustRightInd/>
        <w:jc w:val="left"/>
        <w:rPr>
          <w:rFonts w:cs="Arial"/>
          <w:bCs/>
        </w:rPr>
      </w:pPr>
      <w:r w:rsidRPr="00310690">
        <w:rPr>
          <w:rFonts w:cs="Arial"/>
          <w:bCs/>
        </w:rPr>
        <w:t>REPUBLIKA HRVATSKA</w:t>
      </w:r>
    </w:p>
    <w:p w:rsidR="00951A71" w:rsidRPr="00310690" w:rsidRDefault="00951A71" w:rsidP="009270F2">
      <w:pPr>
        <w:widowControl/>
        <w:pBdr>
          <w:bottom w:val="single" w:sz="4" w:space="1" w:color="auto"/>
        </w:pBdr>
        <w:autoSpaceDE/>
        <w:autoSpaceDN/>
        <w:adjustRightInd/>
        <w:rPr>
          <w:rFonts w:cs="Arial"/>
          <w:bCs/>
          <w:szCs w:val="20"/>
        </w:rPr>
      </w:pPr>
      <w:r w:rsidRPr="00310690">
        <w:rPr>
          <w:rFonts w:cs="Arial"/>
          <w:bCs/>
          <w:szCs w:val="20"/>
        </w:rPr>
        <w:t>DRŽAVNI URED ZA REVIZIJU</w:t>
      </w:r>
    </w:p>
    <w:p w:rsidR="002C5AE8" w:rsidRPr="00DE6DB9" w:rsidRDefault="002C5AE8" w:rsidP="002C5AE8">
      <w:pPr>
        <w:rPr>
          <w:rFonts w:cs="Arial"/>
        </w:rPr>
      </w:pPr>
      <w:r w:rsidRPr="00BD5323">
        <w:rPr>
          <w:rFonts w:cs="Arial"/>
        </w:rPr>
        <w:t>KLASA</w:t>
      </w:r>
      <w:r w:rsidRPr="00DE6DB9">
        <w:rPr>
          <w:rFonts w:cs="Arial"/>
        </w:rPr>
        <w:t xml:space="preserve">: </w:t>
      </w:r>
      <w:r w:rsidR="008C086A" w:rsidRPr="003B4E3F">
        <w:t>008-01/2</w:t>
      </w:r>
      <w:r w:rsidR="008C086A">
        <w:t>5</w:t>
      </w:r>
      <w:r w:rsidR="008C086A" w:rsidRPr="003B4E3F">
        <w:t>-04/1</w:t>
      </w:r>
    </w:p>
    <w:p w:rsidR="004967E3" w:rsidRDefault="002C5AE8" w:rsidP="009270F2">
      <w:r w:rsidRPr="00DE6DB9">
        <w:rPr>
          <w:rFonts w:cs="Arial"/>
        </w:rPr>
        <w:t xml:space="preserve">URBROJ: </w:t>
      </w:r>
      <w:r w:rsidR="008C086A" w:rsidRPr="003B4E3F">
        <w:t>613-01</w:t>
      </w:r>
      <w:r w:rsidR="008C086A">
        <w:t>/10</w:t>
      </w:r>
      <w:r w:rsidR="008C086A" w:rsidRPr="003B4E3F">
        <w:t>-</w:t>
      </w:r>
      <w:r w:rsidR="008C086A">
        <w:t>25-6</w:t>
      </w:r>
    </w:p>
    <w:p w:rsidR="008C086A" w:rsidRPr="00310690" w:rsidRDefault="008C086A" w:rsidP="009270F2">
      <w:pPr>
        <w:rPr>
          <w:rFonts w:cs="Arial"/>
        </w:rPr>
      </w:pPr>
    </w:p>
    <w:p w:rsidR="00D31330" w:rsidRPr="00310690" w:rsidRDefault="00951A71" w:rsidP="009270F2">
      <w:pPr>
        <w:tabs>
          <w:tab w:val="left" w:pos="567"/>
        </w:tabs>
        <w:ind w:left="567" w:hanging="567"/>
        <w:rPr>
          <w:rFonts w:cs="Arial"/>
        </w:rPr>
      </w:pPr>
      <w:r w:rsidRPr="00310690">
        <w:rPr>
          <w:rFonts w:cs="Arial"/>
        </w:rPr>
        <w:t xml:space="preserve">Zagreb, </w:t>
      </w:r>
      <w:r w:rsidR="0005373B">
        <w:rPr>
          <w:rFonts w:cs="Arial"/>
        </w:rPr>
        <w:t>28</w:t>
      </w:r>
      <w:r w:rsidR="007C3102" w:rsidRPr="00310690">
        <w:rPr>
          <w:rFonts w:cs="Arial"/>
        </w:rPr>
        <w:t xml:space="preserve">. </w:t>
      </w:r>
      <w:r w:rsidR="0005373B">
        <w:rPr>
          <w:rFonts w:cs="Arial"/>
        </w:rPr>
        <w:t>listopada</w:t>
      </w:r>
      <w:r w:rsidR="003C1501" w:rsidRPr="00310690">
        <w:rPr>
          <w:rFonts w:cs="Arial"/>
        </w:rPr>
        <w:t xml:space="preserve"> </w:t>
      </w:r>
      <w:r w:rsidR="00D1646C" w:rsidRPr="00310690">
        <w:rPr>
          <w:rFonts w:cs="Arial"/>
        </w:rPr>
        <w:t>202</w:t>
      </w:r>
      <w:r w:rsidR="0005373B">
        <w:rPr>
          <w:rFonts w:cs="Arial"/>
        </w:rPr>
        <w:t>5</w:t>
      </w:r>
      <w:r w:rsidR="00D1646C" w:rsidRPr="00310690">
        <w:rPr>
          <w:rFonts w:cs="Arial"/>
        </w:rPr>
        <w:t>.</w:t>
      </w:r>
    </w:p>
    <w:p w:rsidR="0030749A" w:rsidRPr="00310690" w:rsidRDefault="00951A71" w:rsidP="009270F2">
      <w:pPr>
        <w:rPr>
          <w:rFonts w:cs="Arial"/>
        </w:rPr>
      </w:pPr>
      <w:r w:rsidRPr="00310690">
        <w:rPr>
          <w:rFonts w:cs="Arial"/>
        </w:rPr>
        <w:tab/>
      </w:r>
      <w:r w:rsidRPr="00310690">
        <w:rPr>
          <w:rFonts w:cs="Arial"/>
        </w:rPr>
        <w:tab/>
      </w:r>
      <w:r w:rsidRPr="00310690">
        <w:rPr>
          <w:rFonts w:cs="Arial"/>
        </w:rPr>
        <w:tab/>
      </w:r>
    </w:p>
    <w:p w:rsidR="00682DCC" w:rsidRPr="00310690" w:rsidRDefault="0030749A" w:rsidP="009270F2">
      <w:pPr>
        <w:rPr>
          <w:rFonts w:cs="Arial"/>
        </w:rPr>
      </w:pPr>
      <w:r w:rsidRPr="00310690">
        <w:rPr>
          <w:rFonts w:cs="Arial"/>
        </w:rPr>
        <w:tab/>
      </w:r>
      <w:r w:rsidRPr="00310690">
        <w:rPr>
          <w:rFonts w:cs="Arial"/>
        </w:rPr>
        <w:tab/>
      </w:r>
      <w:r w:rsidRPr="00310690">
        <w:rPr>
          <w:rFonts w:cs="Arial"/>
        </w:rPr>
        <w:tab/>
      </w:r>
    </w:p>
    <w:p w:rsidR="00951A71" w:rsidRPr="00310690" w:rsidRDefault="0030749A" w:rsidP="009270F2">
      <w:pPr>
        <w:rPr>
          <w:rFonts w:cs="Arial"/>
        </w:rPr>
      </w:pPr>
      <w:r w:rsidRPr="00310690">
        <w:rPr>
          <w:rFonts w:cs="Arial"/>
        </w:rPr>
        <w:tab/>
      </w:r>
      <w:r w:rsidR="00951A71" w:rsidRPr="00310690">
        <w:rPr>
          <w:rFonts w:cs="Arial"/>
        </w:rPr>
        <w:tab/>
      </w:r>
      <w:r w:rsidR="00951A71" w:rsidRPr="00310690">
        <w:rPr>
          <w:rFonts w:cs="Arial"/>
        </w:rPr>
        <w:tab/>
      </w:r>
      <w:r w:rsidR="00951A71" w:rsidRPr="00310690">
        <w:rPr>
          <w:rFonts w:cs="Arial"/>
        </w:rPr>
        <w:tab/>
      </w:r>
      <w:r w:rsidR="00951A71" w:rsidRPr="00310690">
        <w:rPr>
          <w:rFonts w:cs="Arial"/>
        </w:rPr>
        <w:tab/>
      </w:r>
      <w:r w:rsidR="00951A71" w:rsidRPr="00310690">
        <w:rPr>
          <w:rFonts w:cs="Arial"/>
        </w:rPr>
        <w:tab/>
      </w:r>
      <w:r w:rsidR="00682DCC" w:rsidRPr="00310690">
        <w:rPr>
          <w:rFonts w:cs="Arial"/>
        </w:rPr>
        <w:tab/>
      </w:r>
      <w:r w:rsidR="00682DCC" w:rsidRPr="00310690">
        <w:rPr>
          <w:rFonts w:cs="Arial"/>
        </w:rPr>
        <w:tab/>
      </w:r>
      <w:r w:rsidR="00682DCC" w:rsidRPr="00310690">
        <w:rPr>
          <w:rFonts w:cs="Arial"/>
        </w:rPr>
        <w:tab/>
      </w:r>
      <w:r w:rsidR="00682DCC" w:rsidRPr="00310690">
        <w:rPr>
          <w:rFonts w:cs="Arial"/>
        </w:rPr>
        <w:tab/>
      </w:r>
      <w:r w:rsidR="001C2236" w:rsidRPr="00310690">
        <w:rPr>
          <w:rFonts w:cs="Arial"/>
        </w:rPr>
        <w:t>–</w:t>
      </w:r>
      <w:r w:rsidR="00951A71" w:rsidRPr="00310690">
        <w:rPr>
          <w:rFonts w:cs="Arial"/>
        </w:rPr>
        <w:t xml:space="preserve"> za objavu, odmah </w:t>
      </w:r>
      <w:r w:rsidR="001C2236" w:rsidRPr="00310690">
        <w:rPr>
          <w:rFonts w:cs="Arial"/>
        </w:rPr>
        <w:t>–</w:t>
      </w:r>
    </w:p>
    <w:p w:rsidR="00951A71" w:rsidRPr="00310690" w:rsidRDefault="00951A71" w:rsidP="009270F2">
      <w:pPr>
        <w:rPr>
          <w:rFonts w:cs="Arial"/>
        </w:rPr>
      </w:pPr>
    </w:p>
    <w:p w:rsidR="0030749A" w:rsidRPr="00310690" w:rsidRDefault="0030749A" w:rsidP="009270F2">
      <w:pPr>
        <w:rPr>
          <w:rFonts w:cs="Arial"/>
        </w:rPr>
      </w:pPr>
    </w:p>
    <w:p w:rsidR="00682DCC" w:rsidRPr="00310690" w:rsidRDefault="00682DCC" w:rsidP="009270F2">
      <w:pPr>
        <w:rPr>
          <w:rFonts w:cs="Arial"/>
        </w:rPr>
      </w:pPr>
    </w:p>
    <w:p w:rsidR="00951A71" w:rsidRPr="00257731" w:rsidRDefault="00A87482" w:rsidP="00257731">
      <w:pPr>
        <w:jc w:val="center"/>
        <w:rPr>
          <w:rFonts w:cs="Arial"/>
          <w:b/>
        </w:rPr>
      </w:pPr>
      <w:r w:rsidRPr="00257731">
        <w:rPr>
          <w:rFonts w:cs="Arial"/>
          <w:b/>
        </w:rPr>
        <w:t>PRIOPĆENJE ZA MEDIJE</w:t>
      </w:r>
    </w:p>
    <w:p w:rsidR="00951A71" w:rsidRPr="00310690" w:rsidRDefault="00951A71" w:rsidP="009270F2">
      <w:pPr>
        <w:jc w:val="center"/>
        <w:rPr>
          <w:rFonts w:cs="Arial"/>
        </w:rPr>
      </w:pPr>
    </w:p>
    <w:p w:rsidR="00951A71" w:rsidRPr="00310690" w:rsidRDefault="00951A71" w:rsidP="00257731">
      <w:pPr>
        <w:shd w:val="clear" w:color="auto" w:fill="DBE5F1" w:themeFill="accent1" w:themeFillTint="33"/>
        <w:jc w:val="center"/>
        <w:rPr>
          <w:rFonts w:cs="Arial"/>
          <w:b/>
        </w:rPr>
      </w:pPr>
      <w:r w:rsidRPr="00310690">
        <w:rPr>
          <w:rFonts w:cs="Arial"/>
          <w:b/>
        </w:rPr>
        <w:t>DOSTAVA IZVJEŠĆA HRVATSKOM SABORU</w:t>
      </w:r>
    </w:p>
    <w:p w:rsidR="00951A71" w:rsidRPr="00310690" w:rsidRDefault="00951A71" w:rsidP="009270F2">
      <w:pPr>
        <w:jc w:val="center"/>
        <w:rPr>
          <w:rFonts w:cs="Arial"/>
        </w:rPr>
      </w:pPr>
    </w:p>
    <w:p w:rsidR="00951A71" w:rsidRPr="00310690" w:rsidRDefault="00951A71" w:rsidP="009270F2">
      <w:pPr>
        <w:rPr>
          <w:rFonts w:cs="Arial"/>
        </w:rPr>
      </w:pPr>
    </w:p>
    <w:p w:rsidR="009829EA" w:rsidRPr="00310690" w:rsidRDefault="00951A71" w:rsidP="006970C5">
      <w:pPr>
        <w:tabs>
          <w:tab w:val="left" w:pos="567"/>
        </w:tabs>
        <w:rPr>
          <w:rFonts w:cs="Arial"/>
          <w:b/>
        </w:rPr>
      </w:pPr>
      <w:r w:rsidRPr="00310690">
        <w:rPr>
          <w:rFonts w:cs="Arial"/>
        </w:rPr>
        <w:t xml:space="preserve">Državni ured za reviziju </w:t>
      </w:r>
      <w:r w:rsidR="00EE4F46" w:rsidRPr="00310690">
        <w:rPr>
          <w:rFonts w:cs="Arial"/>
        </w:rPr>
        <w:t xml:space="preserve">(dalje u tekstu: Ured) </w:t>
      </w:r>
      <w:r w:rsidRPr="00310690">
        <w:rPr>
          <w:rFonts w:cs="Arial"/>
        </w:rPr>
        <w:t>dostavio</w:t>
      </w:r>
      <w:r w:rsidR="003616FD" w:rsidRPr="00310690">
        <w:rPr>
          <w:rFonts w:cs="Arial"/>
        </w:rPr>
        <w:t xml:space="preserve"> je</w:t>
      </w:r>
      <w:r w:rsidRPr="00310690">
        <w:rPr>
          <w:rFonts w:cs="Arial"/>
        </w:rPr>
        <w:t xml:space="preserve"> </w:t>
      </w:r>
      <w:r w:rsidRPr="00310690">
        <w:rPr>
          <w:rFonts w:cs="Arial"/>
          <w:b/>
        </w:rPr>
        <w:t>Hrvatskom saboru</w:t>
      </w:r>
      <w:r w:rsidR="00310DC0" w:rsidRPr="00310690">
        <w:rPr>
          <w:rFonts w:cs="Arial"/>
        </w:rPr>
        <w:t>:</w:t>
      </w:r>
    </w:p>
    <w:p w:rsidR="006524DB" w:rsidRPr="00310690" w:rsidRDefault="006524DB" w:rsidP="006970C5">
      <w:pPr>
        <w:tabs>
          <w:tab w:val="left" w:pos="567"/>
        </w:tabs>
        <w:rPr>
          <w:rFonts w:cs="Arial"/>
          <w:b/>
        </w:rPr>
      </w:pPr>
    </w:p>
    <w:p w:rsidR="007E4FA9" w:rsidRPr="00227250" w:rsidRDefault="006524DB" w:rsidP="006970C5">
      <w:pPr>
        <w:tabs>
          <w:tab w:val="left" w:pos="567"/>
          <w:tab w:val="left" w:pos="993"/>
        </w:tabs>
        <w:ind w:left="567" w:hanging="567"/>
        <w:rPr>
          <w:rFonts w:eastAsia="Calibri"/>
          <w:szCs w:val="22"/>
          <w:lang w:eastAsia="en-US"/>
        </w:rPr>
      </w:pPr>
      <w:r w:rsidRPr="00310690">
        <w:rPr>
          <w:rFonts w:cs="Arial"/>
        </w:rPr>
        <w:t>–</w:t>
      </w:r>
      <w:r w:rsidRPr="00C321A2">
        <w:rPr>
          <w:rFonts w:cs="Arial"/>
        </w:rPr>
        <w:tab/>
      </w:r>
      <w:r w:rsidR="006A2AE5" w:rsidRPr="005D2D3B">
        <w:rPr>
          <w:rFonts w:cs="Arial"/>
          <w:b/>
        </w:rPr>
        <w:t>30</w:t>
      </w:r>
      <w:r w:rsidR="00C321A2" w:rsidRPr="005D2D3B">
        <w:rPr>
          <w:rFonts w:cs="Arial"/>
          <w:b/>
        </w:rPr>
        <w:t xml:space="preserve"> izvješća o obavljenoj financijskoj reviziji</w:t>
      </w:r>
      <w:r w:rsidR="00C321A2" w:rsidRPr="00227250">
        <w:rPr>
          <w:rFonts w:cs="Arial"/>
        </w:rPr>
        <w:t>, i to za</w:t>
      </w:r>
      <w:r w:rsidR="00373FA4" w:rsidRPr="00227250">
        <w:rPr>
          <w:rFonts w:cs="Arial"/>
        </w:rPr>
        <w:t>:</w:t>
      </w:r>
      <w:r w:rsidR="00C321A2" w:rsidRPr="00227250">
        <w:rPr>
          <w:rFonts w:cs="Arial"/>
        </w:rPr>
        <w:t xml:space="preserve"> </w:t>
      </w:r>
      <w:r w:rsidR="00B8115D" w:rsidRPr="00227250">
        <w:rPr>
          <w:rFonts w:cs="Arial"/>
        </w:rPr>
        <w:t xml:space="preserve">četiri proračunska korisnika državnog proračuna, 16 </w:t>
      </w:r>
      <w:r w:rsidR="00B8115D" w:rsidRPr="00227250">
        <w:t>jedinica lokalne samouprave</w:t>
      </w:r>
      <w:r w:rsidR="00B8115D" w:rsidRPr="00227250">
        <w:rPr>
          <w:rFonts w:eastAsia="Calibri"/>
          <w:szCs w:val="22"/>
          <w:lang w:eastAsia="en-US"/>
        </w:rPr>
        <w:t xml:space="preserve">, </w:t>
      </w:r>
      <w:r w:rsidR="00B8115D" w:rsidRPr="00227250">
        <w:t>dva korisnika lokalnog proračuna</w:t>
      </w:r>
      <w:r w:rsidR="00227250">
        <w:t>,</w:t>
      </w:r>
      <w:r w:rsidR="00921B7F">
        <w:t xml:space="preserve"> </w:t>
      </w:r>
      <w:r w:rsidR="00B8115D" w:rsidRPr="00227250">
        <w:t xml:space="preserve">dvije neprofitne organizacije </w:t>
      </w:r>
      <w:r w:rsidR="00B8115D" w:rsidRPr="00227250">
        <w:rPr>
          <w:rFonts w:eastAsia="Calibri"/>
          <w:szCs w:val="22"/>
          <w:lang w:eastAsia="en-US"/>
        </w:rPr>
        <w:t>te</w:t>
      </w:r>
      <w:r w:rsidR="00B8115D" w:rsidRPr="00227250">
        <w:t xml:space="preserve"> šest trgovačkih društava u vlasništvu jedinica lokalne samouprave </w:t>
      </w:r>
    </w:p>
    <w:p w:rsidR="007E4FA9" w:rsidRPr="00227250" w:rsidRDefault="00DD4667" w:rsidP="006970C5">
      <w:pPr>
        <w:tabs>
          <w:tab w:val="left" w:pos="567"/>
        </w:tabs>
        <w:ind w:left="567" w:hanging="567"/>
        <w:rPr>
          <w:rFonts w:eastAsia="Calibri"/>
          <w:szCs w:val="22"/>
          <w:lang w:eastAsia="en-US"/>
        </w:rPr>
      </w:pPr>
      <w:bookmarkStart w:id="0" w:name="_top"/>
      <w:bookmarkEnd w:id="0"/>
      <w:r w:rsidRPr="00227250">
        <w:rPr>
          <w:rFonts w:cs="Arial"/>
        </w:rPr>
        <w:t>–</w:t>
      </w:r>
      <w:r w:rsidRPr="00227250">
        <w:rPr>
          <w:rFonts w:cs="Arial"/>
        </w:rPr>
        <w:tab/>
      </w:r>
      <w:r w:rsidR="007E4FA9" w:rsidRPr="005D2D3B">
        <w:rPr>
          <w:rFonts w:cs="Arial"/>
          <w:b/>
        </w:rPr>
        <w:t>16 izvješća</w:t>
      </w:r>
      <w:r w:rsidR="007E4FA9" w:rsidRPr="005D2D3B">
        <w:rPr>
          <w:rFonts w:cs="Arial"/>
          <w:b/>
          <w:spacing w:val="3"/>
          <w:shd w:val="clear" w:color="auto" w:fill="FFFFFF"/>
        </w:rPr>
        <w:t xml:space="preserve"> o obavljenoj provjeri provedbe naloga i preporuka</w:t>
      </w:r>
      <w:r w:rsidR="007E4FA9" w:rsidRPr="005D2D3B">
        <w:rPr>
          <w:rFonts w:cs="Arial"/>
          <w:b/>
          <w:bCs/>
          <w:spacing w:val="3"/>
          <w:shd w:val="clear" w:color="auto" w:fill="FFFFFF"/>
        </w:rPr>
        <w:t xml:space="preserve"> danih u financijskim revizijama</w:t>
      </w:r>
      <w:r w:rsidR="007E4FA9" w:rsidRPr="00227250">
        <w:rPr>
          <w:rFonts w:cs="Arial"/>
          <w:bCs/>
          <w:spacing w:val="3"/>
          <w:shd w:val="clear" w:color="auto" w:fill="FFFFFF"/>
        </w:rPr>
        <w:t>, i to za</w:t>
      </w:r>
      <w:r w:rsidR="00373FA4" w:rsidRPr="00227250">
        <w:rPr>
          <w:rFonts w:cs="Arial"/>
          <w:bCs/>
          <w:spacing w:val="3"/>
          <w:shd w:val="clear" w:color="auto" w:fill="FFFFFF"/>
        </w:rPr>
        <w:t>:</w:t>
      </w:r>
      <w:r w:rsidR="007E4FA9" w:rsidRPr="00227250">
        <w:rPr>
          <w:rFonts w:cs="Arial"/>
          <w:bCs/>
          <w:spacing w:val="3"/>
          <w:shd w:val="clear" w:color="auto" w:fill="FFFFFF"/>
        </w:rPr>
        <w:t xml:space="preserve"> 12 </w:t>
      </w:r>
      <w:r w:rsidR="00682FD0">
        <w:t>jedinica lokalne i područne (regionalne) samouprave</w:t>
      </w:r>
      <w:r w:rsidR="007E4FA9" w:rsidRPr="00227250">
        <w:rPr>
          <w:rFonts w:eastAsia="Calibri"/>
          <w:szCs w:val="22"/>
          <w:lang w:eastAsia="en-US"/>
        </w:rPr>
        <w:t xml:space="preserve">, </w:t>
      </w:r>
      <w:r w:rsidR="004E1044">
        <w:t>tri trgovačka društ</w:t>
      </w:r>
      <w:r w:rsidR="007E4FA9" w:rsidRPr="00227250">
        <w:t>va</w:t>
      </w:r>
      <w:r w:rsidR="00227250">
        <w:t xml:space="preserve"> u vlasništvu </w:t>
      </w:r>
      <w:r w:rsidR="00557BAA">
        <w:t>jedinica lokalne samouprave</w:t>
      </w:r>
      <w:r w:rsidR="00227250">
        <w:t xml:space="preserve"> </w:t>
      </w:r>
      <w:r w:rsidR="007E4FA9" w:rsidRPr="00227250">
        <w:rPr>
          <w:rFonts w:eastAsia="Calibri"/>
          <w:szCs w:val="22"/>
          <w:lang w:eastAsia="en-US"/>
        </w:rPr>
        <w:t xml:space="preserve">te </w:t>
      </w:r>
      <w:r w:rsidR="007E4FA9" w:rsidRPr="00227250">
        <w:t xml:space="preserve">jednu financijsku instituciju </w:t>
      </w:r>
    </w:p>
    <w:p w:rsidR="00557BAA" w:rsidRPr="00557BAA" w:rsidRDefault="007E4FA9" w:rsidP="006970C5">
      <w:pPr>
        <w:widowControl/>
        <w:tabs>
          <w:tab w:val="left" w:pos="567"/>
          <w:tab w:val="left" w:pos="851"/>
        </w:tabs>
        <w:autoSpaceDE/>
        <w:autoSpaceDN/>
        <w:adjustRightInd/>
        <w:ind w:left="567" w:hanging="567"/>
        <w:rPr>
          <w:rFonts w:cs="Arial"/>
          <w:b/>
          <w:bCs/>
          <w:spacing w:val="3"/>
          <w:shd w:val="clear" w:color="auto" w:fill="FFFFFF"/>
        </w:rPr>
      </w:pPr>
      <w:r w:rsidRPr="00227250">
        <w:rPr>
          <w:rFonts w:cs="Arial"/>
        </w:rPr>
        <w:t>–</w:t>
      </w:r>
      <w:r w:rsidRPr="00227250">
        <w:rPr>
          <w:rFonts w:cs="Arial"/>
        </w:rPr>
        <w:tab/>
      </w:r>
      <w:r w:rsidRPr="005D2D3B">
        <w:rPr>
          <w:rFonts w:cs="Arial"/>
          <w:b/>
        </w:rPr>
        <w:t>23 izvješća</w:t>
      </w:r>
      <w:r w:rsidRPr="005D2D3B">
        <w:rPr>
          <w:rFonts w:cs="Arial"/>
          <w:b/>
          <w:spacing w:val="3"/>
          <w:shd w:val="clear" w:color="auto" w:fill="FFFFFF"/>
        </w:rPr>
        <w:t xml:space="preserve"> o obavljenoj provjeri provedbe naloga i preporuka</w:t>
      </w:r>
      <w:r w:rsidRPr="005D2D3B">
        <w:rPr>
          <w:rFonts w:cs="Arial"/>
          <w:b/>
          <w:bCs/>
          <w:spacing w:val="3"/>
          <w:shd w:val="clear" w:color="auto" w:fill="FFFFFF"/>
        </w:rPr>
        <w:t xml:space="preserve"> danih </w:t>
      </w:r>
      <w:r w:rsidR="004A0694" w:rsidRPr="005D2D3B">
        <w:rPr>
          <w:rFonts w:cs="Arial"/>
          <w:b/>
          <w:bCs/>
          <w:spacing w:val="3"/>
          <w:shd w:val="clear" w:color="auto" w:fill="FFFFFF"/>
        </w:rPr>
        <w:t xml:space="preserve">u revizijama </w:t>
      </w:r>
      <w:r w:rsidRPr="005D2D3B">
        <w:rPr>
          <w:rFonts w:cs="Arial"/>
          <w:b/>
          <w:bCs/>
          <w:spacing w:val="3"/>
          <w:shd w:val="clear" w:color="auto" w:fill="FFFFFF"/>
        </w:rPr>
        <w:t>učinkovitosti</w:t>
      </w:r>
      <w:r w:rsidR="00557BAA">
        <w:rPr>
          <w:rFonts w:cs="Arial"/>
          <w:b/>
          <w:bCs/>
          <w:spacing w:val="3"/>
          <w:shd w:val="clear" w:color="auto" w:fill="FFFFFF"/>
        </w:rPr>
        <w:t xml:space="preserve">, </w:t>
      </w:r>
      <w:r w:rsidR="00557BAA" w:rsidRPr="00557BAA">
        <w:rPr>
          <w:rFonts w:cs="Arial"/>
          <w:bCs/>
          <w:spacing w:val="3"/>
          <w:shd w:val="clear" w:color="auto" w:fill="FFFFFF"/>
        </w:rPr>
        <w:t>od čega 20 izvješća provjere provedbe naloga i pr</w:t>
      </w:r>
      <w:r w:rsidR="00557BAA">
        <w:rPr>
          <w:rFonts w:cs="Arial"/>
          <w:bCs/>
          <w:spacing w:val="3"/>
          <w:shd w:val="clear" w:color="auto" w:fill="FFFFFF"/>
        </w:rPr>
        <w:t>e</w:t>
      </w:r>
      <w:r w:rsidR="00557BAA" w:rsidRPr="00557BAA">
        <w:rPr>
          <w:rFonts w:cs="Arial"/>
          <w:bCs/>
          <w:spacing w:val="3"/>
          <w:shd w:val="clear" w:color="auto" w:fill="FFFFFF"/>
        </w:rPr>
        <w:t>po</w:t>
      </w:r>
      <w:r w:rsidR="00557BAA">
        <w:rPr>
          <w:rFonts w:cs="Arial"/>
          <w:bCs/>
          <w:spacing w:val="3"/>
          <w:shd w:val="clear" w:color="auto" w:fill="FFFFFF"/>
        </w:rPr>
        <w:t>r</w:t>
      </w:r>
      <w:r w:rsidR="00557BAA" w:rsidRPr="00557BAA">
        <w:rPr>
          <w:rFonts w:cs="Arial"/>
          <w:bCs/>
          <w:spacing w:val="3"/>
          <w:shd w:val="clear" w:color="auto" w:fill="FFFFFF"/>
        </w:rPr>
        <w:t xml:space="preserve">uka danih u reviziji </w:t>
      </w:r>
      <w:r w:rsidR="00557BAA" w:rsidRPr="00557BAA">
        <w:rPr>
          <w:rFonts w:cs="Arial"/>
          <w:b/>
          <w:bCs/>
          <w:spacing w:val="3"/>
          <w:shd w:val="clear" w:color="auto" w:fill="FFFFFF"/>
        </w:rPr>
        <w:t xml:space="preserve">Upravljanje komunalnom infrastrukturom u jedinicama lokalne samouprave u 2019. i 2020. </w:t>
      </w:r>
      <w:r w:rsidR="00557BAA" w:rsidRPr="00557BAA">
        <w:rPr>
          <w:rFonts w:cs="Arial"/>
          <w:bCs/>
          <w:spacing w:val="3"/>
          <w:shd w:val="clear" w:color="auto" w:fill="FFFFFF"/>
        </w:rPr>
        <w:t>(njih 537), za koje je sastavljeno i</w:t>
      </w:r>
      <w:r w:rsidR="00557BAA" w:rsidRPr="00557BAA">
        <w:rPr>
          <w:rFonts w:cs="Arial"/>
          <w:b/>
          <w:bCs/>
          <w:spacing w:val="3"/>
          <w:shd w:val="clear" w:color="auto" w:fill="FFFFFF"/>
        </w:rPr>
        <w:t xml:space="preserve"> Objedinjeno izvješće.</w:t>
      </w:r>
    </w:p>
    <w:p w:rsidR="00373FA4" w:rsidRPr="00227250" w:rsidRDefault="00373FA4" w:rsidP="006970C5">
      <w:pPr>
        <w:widowControl/>
        <w:tabs>
          <w:tab w:val="left" w:pos="567"/>
        </w:tabs>
        <w:autoSpaceDE/>
        <w:autoSpaceDN/>
        <w:adjustRightInd/>
        <w:ind w:left="567" w:hanging="567"/>
        <w:rPr>
          <w:rFonts w:cs="Arial"/>
          <w:bCs/>
          <w:spacing w:val="3"/>
          <w:shd w:val="clear" w:color="auto" w:fill="FFFFFF"/>
        </w:rPr>
      </w:pPr>
    </w:p>
    <w:p w:rsidR="00BA2262" w:rsidRPr="00ED45A0" w:rsidRDefault="00557BAA" w:rsidP="006970C5">
      <w:pPr>
        <w:widowControl/>
        <w:tabs>
          <w:tab w:val="left" w:pos="567"/>
        </w:tabs>
        <w:autoSpaceDE/>
        <w:autoSpaceDN/>
        <w:adjustRightInd/>
        <w:ind w:left="567" w:hanging="567"/>
        <w:contextualSpacing/>
        <w:rPr>
          <w:rStyle w:val="Hiperveza"/>
          <w:rFonts w:cs="Arial"/>
          <w:color w:val="auto"/>
          <w:u w:val="none"/>
        </w:rPr>
      </w:pPr>
      <w:r>
        <w:rPr>
          <w:rFonts w:cs="Arial"/>
        </w:rPr>
        <w:t>Sva i</w:t>
      </w:r>
      <w:r w:rsidR="00857FEE">
        <w:rPr>
          <w:rFonts w:cs="Arial"/>
        </w:rPr>
        <w:t>z</w:t>
      </w:r>
      <w:r w:rsidR="0005373B">
        <w:rPr>
          <w:rFonts w:cs="Arial"/>
        </w:rPr>
        <w:t xml:space="preserve">vješća </w:t>
      </w:r>
      <w:r w:rsidR="00D60BCD" w:rsidRPr="00310690">
        <w:rPr>
          <w:rFonts w:cs="Arial"/>
        </w:rPr>
        <w:t xml:space="preserve">objavljena </w:t>
      </w:r>
      <w:r>
        <w:rPr>
          <w:rFonts w:cs="Arial"/>
        </w:rPr>
        <w:t xml:space="preserve">su </w:t>
      </w:r>
      <w:r w:rsidR="00D60BCD" w:rsidRPr="00310690">
        <w:rPr>
          <w:rFonts w:cs="Arial"/>
        </w:rPr>
        <w:t xml:space="preserve">na mrežnim stranicama </w:t>
      </w:r>
      <w:r w:rsidR="002A02AC" w:rsidRPr="00310690">
        <w:rPr>
          <w:rFonts w:cs="Arial"/>
        </w:rPr>
        <w:t>Ureda</w:t>
      </w:r>
      <w:r w:rsidR="00ED45A0">
        <w:rPr>
          <w:rFonts w:cs="Arial"/>
        </w:rPr>
        <w:t>:</w:t>
      </w:r>
      <w:r w:rsidR="00D60BCD" w:rsidRPr="00310690">
        <w:rPr>
          <w:rFonts w:cs="Arial"/>
        </w:rPr>
        <w:t xml:space="preserve"> </w:t>
      </w:r>
      <w:hyperlink r:id="rId9" w:history="1">
        <w:r w:rsidR="002A02AC" w:rsidRPr="00310690">
          <w:rPr>
            <w:rStyle w:val="Hiperveza"/>
            <w:rFonts w:cs="Arial"/>
          </w:rPr>
          <w:t>www.revizija.hr</w:t>
        </w:r>
      </w:hyperlink>
      <w:r w:rsidR="00857FEE" w:rsidRPr="00ED45A0">
        <w:rPr>
          <w:rStyle w:val="Hiperveza"/>
          <w:rFonts w:cs="Arial"/>
          <w:color w:val="auto"/>
          <w:u w:val="none"/>
        </w:rPr>
        <w:t>.</w:t>
      </w:r>
    </w:p>
    <w:p w:rsidR="00BA2262" w:rsidRDefault="00BA2262" w:rsidP="006970C5">
      <w:pPr>
        <w:tabs>
          <w:tab w:val="left" w:pos="0"/>
        </w:tabs>
        <w:rPr>
          <w:rStyle w:val="Hiperveza"/>
          <w:rFonts w:cs="Arial"/>
        </w:rPr>
      </w:pPr>
    </w:p>
    <w:p w:rsidR="0005373B" w:rsidRPr="00163097" w:rsidRDefault="00857FEE" w:rsidP="006970C5">
      <w:pPr>
        <w:tabs>
          <w:tab w:val="left" w:pos="0"/>
        </w:tabs>
        <w:rPr>
          <w:rFonts w:cs="Arial"/>
          <w:b/>
          <w:color w:val="C00000"/>
        </w:rPr>
      </w:pPr>
      <w:r w:rsidRPr="00857FEE">
        <w:rPr>
          <w:rStyle w:val="Hiperveza"/>
          <w:rFonts w:cs="Arial"/>
          <w:color w:val="auto"/>
          <w:u w:val="none"/>
        </w:rPr>
        <w:t xml:space="preserve">Također, sva </w:t>
      </w:r>
      <w:r w:rsidR="00557BAA">
        <w:rPr>
          <w:rStyle w:val="Hiperveza"/>
          <w:rFonts w:cs="Arial"/>
          <w:color w:val="auto"/>
          <w:u w:val="none"/>
        </w:rPr>
        <w:t>pojedinačna i</w:t>
      </w:r>
      <w:r w:rsidRPr="00857FEE">
        <w:rPr>
          <w:rStyle w:val="Hiperveza"/>
          <w:rFonts w:cs="Arial"/>
          <w:color w:val="auto"/>
          <w:u w:val="none"/>
        </w:rPr>
        <w:t xml:space="preserve">zvješća </w:t>
      </w:r>
      <w:r w:rsidR="000206A8" w:rsidRPr="00857FEE">
        <w:rPr>
          <w:rFonts w:cs="Arial"/>
        </w:rPr>
        <w:t>dostavljena</w:t>
      </w:r>
      <w:r w:rsidR="00604F6F" w:rsidRPr="00857FEE">
        <w:rPr>
          <w:rFonts w:cs="Arial"/>
          <w:b/>
        </w:rPr>
        <w:t xml:space="preserve"> </w:t>
      </w:r>
      <w:r w:rsidRPr="00857FEE">
        <w:rPr>
          <w:rFonts w:cs="Arial"/>
        </w:rPr>
        <w:t>su i</w:t>
      </w:r>
      <w:r w:rsidRPr="00857FEE">
        <w:rPr>
          <w:rFonts w:cs="Arial"/>
          <w:b/>
        </w:rPr>
        <w:t xml:space="preserve"> </w:t>
      </w:r>
      <w:r w:rsidR="000206A8" w:rsidRPr="00857FEE">
        <w:rPr>
          <w:rFonts w:cs="Arial"/>
          <w:b/>
        </w:rPr>
        <w:t>Državnom</w:t>
      </w:r>
      <w:r w:rsidR="008E0292" w:rsidRPr="00857FEE">
        <w:rPr>
          <w:rFonts w:cs="Arial"/>
          <w:b/>
        </w:rPr>
        <w:t xml:space="preserve"> </w:t>
      </w:r>
      <w:r w:rsidR="000206A8" w:rsidRPr="00857FEE">
        <w:rPr>
          <w:rFonts w:cs="Arial"/>
          <w:b/>
        </w:rPr>
        <w:t>odvjetništvu Republike Hrvatske</w:t>
      </w:r>
      <w:r w:rsidR="000206A8" w:rsidRPr="00857FEE">
        <w:rPr>
          <w:rFonts w:cs="Arial"/>
        </w:rPr>
        <w:t>.</w:t>
      </w:r>
      <w:r w:rsidR="00BA2262">
        <w:rPr>
          <w:rFonts w:cs="Arial"/>
        </w:rPr>
        <w:t xml:space="preserve"> </w:t>
      </w:r>
      <w:r w:rsidR="002A4F02" w:rsidRPr="00310690">
        <w:rPr>
          <w:rFonts w:cs="Arial"/>
        </w:rPr>
        <w:t>Osim izvješća o obavljenoj revizij</w:t>
      </w:r>
      <w:r w:rsidR="00CB27FC" w:rsidRPr="00310690">
        <w:rPr>
          <w:rFonts w:cs="Arial"/>
        </w:rPr>
        <w:t>i</w:t>
      </w:r>
      <w:r w:rsidR="007A77E2" w:rsidRPr="00310690">
        <w:rPr>
          <w:rFonts w:cs="Arial"/>
        </w:rPr>
        <w:t xml:space="preserve">, DORH-u </w:t>
      </w:r>
      <w:r w:rsidR="00343D86" w:rsidRPr="00310690">
        <w:rPr>
          <w:rFonts w:cs="Arial"/>
        </w:rPr>
        <w:t>su</w:t>
      </w:r>
      <w:r w:rsidR="007A77E2" w:rsidRPr="00310690">
        <w:rPr>
          <w:rFonts w:cs="Arial"/>
        </w:rPr>
        <w:t xml:space="preserve"> dostavljen</w:t>
      </w:r>
      <w:r w:rsidR="00343D86" w:rsidRPr="00310690">
        <w:rPr>
          <w:rFonts w:cs="Arial"/>
        </w:rPr>
        <w:t>e</w:t>
      </w:r>
      <w:r w:rsidR="007A77E2" w:rsidRPr="00310690">
        <w:rPr>
          <w:rFonts w:cs="Arial"/>
        </w:rPr>
        <w:t xml:space="preserve"> </w:t>
      </w:r>
      <w:r w:rsidR="006A0856" w:rsidRPr="00310690">
        <w:rPr>
          <w:rFonts w:cs="Arial"/>
        </w:rPr>
        <w:t xml:space="preserve">obavijesti </w:t>
      </w:r>
      <w:r w:rsidR="00A54FF9" w:rsidRPr="00310690">
        <w:rPr>
          <w:rFonts w:cs="Arial"/>
        </w:rPr>
        <w:t xml:space="preserve">za </w:t>
      </w:r>
      <w:r w:rsidR="00C2395E">
        <w:rPr>
          <w:rFonts w:cs="Arial"/>
        </w:rPr>
        <w:t xml:space="preserve">sve </w:t>
      </w:r>
      <w:r w:rsidR="00A54FF9" w:rsidRPr="00310690">
        <w:rPr>
          <w:rFonts w:cs="Arial"/>
        </w:rPr>
        <w:t xml:space="preserve">subjekte </w:t>
      </w:r>
      <w:r>
        <w:rPr>
          <w:rFonts w:cs="Arial"/>
        </w:rPr>
        <w:t>obuhvaćene r</w:t>
      </w:r>
      <w:r w:rsidR="00C2395E">
        <w:rPr>
          <w:rFonts w:cs="Arial"/>
        </w:rPr>
        <w:t xml:space="preserve">evizijom i postupkom provjere, </w:t>
      </w:r>
      <w:r w:rsidR="00A54FF9" w:rsidRPr="00310690">
        <w:rPr>
          <w:rFonts w:cs="Arial"/>
        </w:rPr>
        <w:t>koji nisu proveli naloge i preporuke u rokovima i na način naveden u planu provedbe naloga i preporuka</w:t>
      </w:r>
      <w:r w:rsidR="00C2395E">
        <w:rPr>
          <w:rFonts w:cs="Arial"/>
        </w:rPr>
        <w:t>,</w:t>
      </w:r>
      <w:r w:rsidR="00A54FF9" w:rsidRPr="003D0DFC">
        <w:rPr>
          <w:rFonts w:cs="Arial"/>
        </w:rPr>
        <w:t xml:space="preserve"> </w:t>
      </w:r>
      <w:r w:rsidR="00A54FF9" w:rsidRPr="00157679">
        <w:rPr>
          <w:rFonts w:cs="Arial"/>
        </w:rPr>
        <w:t xml:space="preserve">odnosno </w:t>
      </w:r>
      <w:r w:rsidR="00C2395E">
        <w:rPr>
          <w:rFonts w:cs="Arial"/>
        </w:rPr>
        <w:t xml:space="preserve">sveukupno </w:t>
      </w:r>
      <w:r w:rsidR="00C2395E">
        <w:rPr>
          <w:rFonts w:cs="Arial"/>
          <w:b/>
        </w:rPr>
        <w:t>522 obavijesti.</w:t>
      </w:r>
      <w:r>
        <w:rPr>
          <w:rFonts w:cs="Arial"/>
          <w:b/>
        </w:rPr>
        <w:t xml:space="preserve"> </w:t>
      </w:r>
      <w:r w:rsidR="00FA7EE6">
        <w:t xml:space="preserve">Također, </w:t>
      </w:r>
      <w:r w:rsidR="00FA7EE6" w:rsidRPr="003B4E3F">
        <w:t>dostavljena</w:t>
      </w:r>
      <w:r w:rsidR="00FA7EE6">
        <w:t xml:space="preserve"> je </w:t>
      </w:r>
      <w:r w:rsidR="00FA7EE6" w:rsidRPr="003B4E3F">
        <w:t xml:space="preserve">i cjelokupna dokumentacija </w:t>
      </w:r>
      <w:r w:rsidR="00FA7EE6">
        <w:t>prikupljena tijekom</w:t>
      </w:r>
      <w:r w:rsidR="00FA7EE6" w:rsidRPr="003B4E3F">
        <w:t xml:space="preserve"> revizije </w:t>
      </w:r>
      <w:r w:rsidR="00FA7EE6" w:rsidRPr="00163097">
        <w:rPr>
          <w:b/>
        </w:rPr>
        <w:t xml:space="preserve">Grada Siska, </w:t>
      </w:r>
      <w:r w:rsidR="009C1332">
        <w:rPr>
          <w:b/>
        </w:rPr>
        <w:t>kojem</w:t>
      </w:r>
      <w:r w:rsidR="00FA7EE6" w:rsidRPr="00163097">
        <w:rPr>
          <w:b/>
        </w:rPr>
        <w:t xml:space="preserve"> je izraženo nepovoljno mišljenje o financijskim izvještajima.</w:t>
      </w:r>
    </w:p>
    <w:p w:rsidR="00461E58" w:rsidRPr="00461E58" w:rsidRDefault="00461E58" w:rsidP="006970C5">
      <w:pPr>
        <w:tabs>
          <w:tab w:val="left" w:pos="567"/>
        </w:tabs>
        <w:rPr>
          <w:rFonts w:cs="Arial"/>
        </w:rPr>
      </w:pPr>
    </w:p>
    <w:p w:rsidR="00461E58" w:rsidRPr="00461E58" w:rsidRDefault="00461E58" w:rsidP="006970C5">
      <w:pPr>
        <w:tabs>
          <w:tab w:val="left" w:pos="567"/>
        </w:tabs>
        <w:rPr>
          <w:rFonts w:cs="Arial"/>
        </w:rPr>
      </w:pPr>
      <w:r w:rsidRPr="00461E58">
        <w:rPr>
          <w:rFonts w:cs="Arial"/>
        </w:rPr>
        <w:t>Više pojedinosti o obavljenim revizijama i provjerama provedbe daje se u nastavku.</w:t>
      </w:r>
    </w:p>
    <w:p w:rsidR="00F30EB7" w:rsidRPr="00163097" w:rsidRDefault="00F30EB7" w:rsidP="006970C5">
      <w:pPr>
        <w:tabs>
          <w:tab w:val="left" w:pos="567"/>
        </w:tabs>
        <w:rPr>
          <w:rFonts w:cs="Arial"/>
          <w:b/>
          <w:color w:val="C00000"/>
        </w:rPr>
      </w:pPr>
    </w:p>
    <w:p w:rsidR="00FA7EE6" w:rsidRDefault="00FA7EE6" w:rsidP="006970C5">
      <w:pPr>
        <w:ind w:firstLine="567"/>
        <w:rPr>
          <w:rFonts w:cs="Arial"/>
          <w:b/>
        </w:rPr>
      </w:pPr>
    </w:p>
    <w:p w:rsidR="00557BAA" w:rsidRDefault="00557BAA" w:rsidP="0054357A">
      <w:pPr>
        <w:ind w:firstLine="567"/>
        <w:rPr>
          <w:rFonts w:cs="Arial"/>
          <w:b/>
        </w:rPr>
      </w:pPr>
    </w:p>
    <w:p w:rsidR="00557BAA" w:rsidRDefault="00557BAA" w:rsidP="0054357A">
      <w:pPr>
        <w:ind w:firstLine="567"/>
        <w:rPr>
          <w:rFonts w:cs="Arial"/>
          <w:b/>
        </w:rPr>
      </w:pPr>
    </w:p>
    <w:p w:rsidR="00557BAA" w:rsidRDefault="00557BAA" w:rsidP="0054357A">
      <w:pPr>
        <w:ind w:firstLine="567"/>
        <w:rPr>
          <w:rFonts w:cs="Arial"/>
          <w:b/>
        </w:rPr>
      </w:pPr>
    </w:p>
    <w:p w:rsidR="00BD5187" w:rsidRPr="00257731" w:rsidRDefault="00813404" w:rsidP="006970C5">
      <w:pPr>
        <w:shd w:val="clear" w:color="auto" w:fill="DBE5F1" w:themeFill="accent1" w:themeFillTint="33"/>
        <w:tabs>
          <w:tab w:val="left" w:pos="567"/>
          <w:tab w:val="left" w:pos="993"/>
        </w:tabs>
        <w:ind w:left="567" w:hanging="567"/>
        <w:rPr>
          <w:rFonts w:cs="Arial"/>
          <w:b/>
        </w:rPr>
      </w:pPr>
      <w:r>
        <w:rPr>
          <w:rFonts w:cs="Arial"/>
          <w:b/>
        </w:rPr>
        <w:lastRenderedPageBreak/>
        <w:t>I</w:t>
      </w:r>
      <w:r w:rsidR="0054357A" w:rsidRPr="00257731">
        <w:rPr>
          <w:rFonts w:cs="Arial"/>
          <w:b/>
        </w:rPr>
        <w:t>.</w:t>
      </w:r>
      <w:r w:rsidR="00694910" w:rsidRPr="00257731">
        <w:rPr>
          <w:rFonts w:cs="Arial"/>
          <w:b/>
        </w:rPr>
        <w:tab/>
      </w:r>
      <w:r w:rsidR="0054357A" w:rsidRPr="00257731">
        <w:rPr>
          <w:rFonts w:cs="Arial"/>
          <w:b/>
        </w:rPr>
        <w:t>IZVJEŠĆA O OBAVLJENOJ FINANCIJSKOJ REVIZIJI</w:t>
      </w:r>
    </w:p>
    <w:p w:rsidR="00694910" w:rsidRDefault="00694910" w:rsidP="006970C5">
      <w:pPr>
        <w:tabs>
          <w:tab w:val="left" w:pos="567"/>
          <w:tab w:val="left" w:pos="993"/>
        </w:tabs>
        <w:ind w:left="567" w:hanging="567"/>
        <w:rPr>
          <w:rFonts w:cs="Arial"/>
          <w:b/>
        </w:rPr>
      </w:pPr>
      <w:r>
        <w:rPr>
          <w:rFonts w:cs="Arial"/>
          <w:b/>
        </w:rPr>
        <w:tab/>
      </w:r>
    </w:p>
    <w:p w:rsidR="00694910" w:rsidRPr="00447DBB" w:rsidRDefault="00694910" w:rsidP="006970C5">
      <w:pPr>
        <w:tabs>
          <w:tab w:val="left" w:pos="284"/>
          <w:tab w:val="left" w:pos="567"/>
          <w:tab w:val="left" w:pos="851"/>
        </w:tabs>
        <w:rPr>
          <w:rFonts w:cs="Arial"/>
        </w:rPr>
      </w:pPr>
      <w:r>
        <w:rPr>
          <w:rFonts w:cs="Arial"/>
        </w:rPr>
        <w:t>U f</w:t>
      </w:r>
      <w:r w:rsidRPr="00310690">
        <w:rPr>
          <w:rFonts w:cs="Arial"/>
        </w:rPr>
        <w:t>inancijs</w:t>
      </w:r>
      <w:r>
        <w:rPr>
          <w:rFonts w:cs="Arial"/>
        </w:rPr>
        <w:t>k</w:t>
      </w:r>
      <w:r w:rsidR="00213254">
        <w:rPr>
          <w:rFonts w:cs="Arial"/>
        </w:rPr>
        <w:t>im</w:t>
      </w:r>
      <w:r w:rsidRPr="00310690">
        <w:rPr>
          <w:rFonts w:cs="Arial"/>
        </w:rPr>
        <w:t xml:space="preserve"> revizij</w:t>
      </w:r>
      <w:r w:rsidR="00213254">
        <w:rPr>
          <w:rFonts w:cs="Arial"/>
        </w:rPr>
        <w:t xml:space="preserve">ama </w:t>
      </w:r>
      <w:r w:rsidRPr="00310690">
        <w:rPr>
          <w:rFonts w:cs="Arial"/>
        </w:rPr>
        <w:t>provjeravaju se</w:t>
      </w:r>
      <w:r w:rsidRPr="00310690">
        <w:rPr>
          <w:rFonts w:cs="Arial"/>
          <w:b/>
        </w:rPr>
        <w:t xml:space="preserve"> financijski izvještaji i usklađenost poslovanja s propisima i unutarnjim aktima</w:t>
      </w:r>
      <w:r>
        <w:rPr>
          <w:rFonts w:cs="Arial"/>
          <w:b/>
        </w:rPr>
        <w:t xml:space="preserve"> značajnima za poslovanje subjekta revizije te se izražavaju dva mišljenja </w:t>
      </w:r>
      <w:r w:rsidRPr="000336F3">
        <w:rPr>
          <w:rFonts w:cs="Arial"/>
        </w:rPr>
        <w:t>(</w:t>
      </w:r>
      <w:r>
        <w:rPr>
          <w:rFonts w:cs="Arial"/>
        </w:rPr>
        <w:t xml:space="preserve">mišljenje </w:t>
      </w:r>
      <w:r w:rsidRPr="00447DBB">
        <w:rPr>
          <w:rFonts w:cs="Arial"/>
        </w:rPr>
        <w:t xml:space="preserve">može biti bezuvjetno, uvjetno, suzdržano, nepovoljno). </w:t>
      </w:r>
    </w:p>
    <w:p w:rsidR="000D5AAE" w:rsidRDefault="000D5AAE" w:rsidP="006970C5">
      <w:pPr>
        <w:tabs>
          <w:tab w:val="left" w:pos="0"/>
          <w:tab w:val="left" w:pos="567"/>
        </w:tabs>
        <w:rPr>
          <w:rFonts w:cs="Arial"/>
          <w:b/>
        </w:rPr>
      </w:pPr>
    </w:p>
    <w:p w:rsidR="00F30EB7" w:rsidRPr="002670ED" w:rsidRDefault="00F30EB7" w:rsidP="006970C5">
      <w:pPr>
        <w:tabs>
          <w:tab w:val="left" w:pos="0"/>
          <w:tab w:val="left" w:pos="567"/>
        </w:tabs>
        <w:rPr>
          <w:rFonts w:cs="Arial"/>
          <w:b/>
        </w:rPr>
      </w:pPr>
    </w:p>
    <w:p w:rsidR="00BD5187" w:rsidRPr="00257731" w:rsidRDefault="00D96A58" w:rsidP="006970C5">
      <w:pPr>
        <w:shd w:val="clear" w:color="auto" w:fill="DBE5F1" w:themeFill="accent1" w:themeFillTint="33"/>
        <w:tabs>
          <w:tab w:val="left" w:pos="0"/>
          <w:tab w:val="left" w:pos="567"/>
        </w:tabs>
        <w:rPr>
          <w:rFonts w:cs="Arial"/>
          <w:b/>
        </w:rPr>
      </w:pPr>
      <w:r w:rsidRPr="00257731">
        <w:rPr>
          <w:rFonts w:cs="Arial"/>
          <w:b/>
        </w:rPr>
        <w:t>PRORAČUNSKI KORISNICI DRŽAVNOG PRORAČUNA</w:t>
      </w:r>
    </w:p>
    <w:p w:rsidR="00813521" w:rsidRDefault="00813521" w:rsidP="006970C5">
      <w:pPr>
        <w:tabs>
          <w:tab w:val="left" w:pos="284"/>
          <w:tab w:val="left" w:pos="567"/>
          <w:tab w:val="left" w:pos="851"/>
        </w:tabs>
      </w:pPr>
      <w:r>
        <w:tab/>
      </w:r>
      <w:r>
        <w:tab/>
      </w:r>
    </w:p>
    <w:p w:rsidR="00813521" w:rsidRDefault="00813521" w:rsidP="006970C5">
      <w:pPr>
        <w:tabs>
          <w:tab w:val="left" w:pos="284"/>
          <w:tab w:val="left" w:pos="567"/>
          <w:tab w:val="left" w:pos="851"/>
        </w:tabs>
        <w:rPr>
          <w:rFonts w:cs="Arial"/>
        </w:rPr>
      </w:pPr>
      <w:r w:rsidRPr="00813521">
        <w:t>Ured je obavio financijske revizije četiri proračunska korisnika državnog proračuna</w:t>
      </w:r>
      <w:r w:rsidR="002A2BF7">
        <w:t>,</w:t>
      </w:r>
      <w:r>
        <w:t xml:space="preserve"> </w:t>
      </w:r>
      <w:r w:rsidRPr="00813521">
        <w:t xml:space="preserve">kojima su obuhvaćeni financijski izvještaji </w:t>
      </w:r>
      <w:r>
        <w:t>i</w:t>
      </w:r>
      <w:r w:rsidRPr="00813521">
        <w:t xml:space="preserve"> poslovanje za 2024.</w:t>
      </w:r>
      <w:r w:rsidR="006E26D9">
        <w:t>:</w:t>
      </w:r>
      <w:r>
        <w:t xml:space="preserve"> </w:t>
      </w:r>
      <w:r w:rsidRPr="006E26D9">
        <w:rPr>
          <w:rFonts w:eastAsia="Calibri" w:cs="Arial"/>
          <w:b/>
          <w:lang w:eastAsia="en-US"/>
        </w:rPr>
        <w:t xml:space="preserve">Ministarstva poljoprivrede, šumarstva i ribarstva; Ministarstva financija, Carinske uprave; Agencije za pravni promet i posredovanje nekretninama te </w:t>
      </w:r>
      <w:r w:rsidRPr="006E26D9">
        <w:rPr>
          <w:rFonts w:cs="Arial"/>
          <w:b/>
        </w:rPr>
        <w:t>Nacionalne i sveučilišne knjižnice u Zagrebu</w:t>
      </w:r>
      <w:r>
        <w:rPr>
          <w:rFonts w:cs="Arial"/>
        </w:rPr>
        <w:t>.</w:t>
      </w:r>
    </w:p>
    <w:p w:rsidR="00813521" w:rsidRDefault="00813521" w:rsidP="006970C5">
      <w:pPr>
        <w:tabs>
          <w:tab w:val="left" w:pos="284"/>
          <w:tab w:val="left" w:pos="567"/>
          <w:tab w:val="left" w:pos="851"/>
        </w:tabs>
      </w:pPr>
      <w:r>
        <w:t xml:space="preserve"> </w:t>
      </w:r>
    </w:p>
    <w:p w:rsidR="00F77353" w:rsidRPr="009C1332" w:rsidRDefault="00813521" w:rsidP="006970C5">
      <w:pPr>
        <w:rPr>
          <w:color w:val="000000" w:themeColor="text1"/>
        </w:rPr>
      </w:pPr>
      <w:r w:rsidRPr="009C1332">
        <w:rPr>
          <w:color w:val="000000" w:themeColor="text1"/>
        </w:rPr>
        <w:t xml:space="preserve">Ciljevi revizije </w:t>
      </w:r>
      <w:r w:rsidR="00F77353" w:rsidRPr="009C1332">
        <w:rPr>
          <w:color w:val="000000" w:themeColor="text1"/>
        </w:rPr>
        <w:t>bili su:</w:t>
      </w:r>
    </w:p>
    <w:p w:rsidR="00F77353" w:rsidRPr="009C1332" w:rsidRDefault="00F77353" w:rsidP="006970C5">
      <w:pPr>
        <w:pStyle w:val="Odlomakpopisa"/>
        <w:numPr>
          <w:ilvl w:val="0"/>
          <w:numId w:val="25"/>
        </w:numPr>
        <w:spacing w:line="240" w:lineRule="auto"/>
        <w:jc w:val="both"/>
        <w:rPr>
          <w:rFonts w:ascii="Arial" w:hAnsi="Arial" w:cs="Arial"/>
          <w:color w:val="000000" w:themeColor="text1"/>
          <w:sz w:val="24"/>
          <w:szCs w:val="24"/>
        </w:rPr>
      </w:pPr>
      <w:r w:rsidRPr="009C1332">
        <w:rPr>
          <w:rFonts w:ascii="Arial" w:hAnsi="Arial" w:cs="Arial"/>
          <w:color w:val="000000" w:themeColor="text1"/>
          <w:sz w:val="24"/>
          <w:szCs w:val="24"/>
        </w:rPr>
        <w:t xml:space="preserve">provjeriti istinitost i vjerodostojnost financijskih izvještaja </w:t>
      </w:r>
    </w:p>
    <w:p w:rsidR="00F77353" w:rsidRPr="009C1332" w:rsidRDefault="00F77353" w:rsidP="006970C5">
      <w:pPr>
        <w:pStyle w:val="Odlomakpopisa"/>
        <w:numPr>
          <w:ilvl w:val="0"/>
          <w:numId w:val="25"/>
        </w:numPr>
        <w:spacing w:line="240" w:lineRule="auto"/>
        <w:jc w:val="both"/>
        <w:rPr>
          <w:rFonts w:ascii="Arial" w:hAnsi="Arial" w:cs="Arial"/>
          <w:color w:val="000000" w:themeColor="text1"/>
          <w:sz w:val="24"/>
          <w:szCs w:val="24"/>
        </w:rPr>
      </w:pPr>
      <w:r w:rsidRPr="009C1332">
        <w:rPr>
          <w:rFonts w:ascii="Arial" w:hAnsi="Arial" w:cs="Arial"/>
          <w:color w:val="000000" w:themeColor="text1"/>
          <w:sz w:val="24"/>
          <w:szCs w:val="24"/>
        </w:rPr>
        <w:t>provjeriti ostvarenje prihoda i primitaka te rashoda i izdataka u skl</w:t>
      </w:r>
      <w:r w:rsidR="00813521" w:rsidRPr="009C1332">
        <w:rPr>
          <w:rFonts w:ascii="Arial" w:hAnsi="Arial" w:cs="Arial"/>
          <w:color w:val="000000" w:themeColor="text1"/>
          <w:sz w:val="24"/>
          <w:szCs w:val="24"/>
        </w:rPr>
        <w:t xml:space="preserve">adu s planiranim aktivnostima i </w:t>
      </w:r>
      <w:r w:rsidRPr="009C1332">
        <w:rPr>
          <w:rFonts w:ascii="Arial" w:hAnsi="Arial" w:cs="Arial"/>
          <w:color w:val="000000" w:themeColor="text1"/>
          <w:sz w:val="24"/>
          <w:szCs w:val="24"/>
        </w:rPr>
        <w:t xml:space="preserve">namjenama </w:t>
      </w:r>
    </w:p>
    <w:p w:rsidR="00F77353" w:rsidRPr="009C1332" w:rsidRDefault="00F77353" w:rsidP="006970C5">
      <w:pPr>
        <w:pStyle w:val="Odlomakpopisa"/>
        <w:numPr>
          <w:ilvl w:val="0"/>
          <w:numId w:val="25"/>
        </w:numPr>
        <w:spacing w:line="240" w:lineRule="auto"/>
        <w:jc w:val="both"/>
        <w:rPr>
          <w:rFonts w:ascii="Arial" w:hAnsi="Arial" w:cs="Arial"/>
          <w:color w:val="000000" w:themeColor="text1"/>
          <w:sz w:val="24"/>
          <w:szCs w:val="24"/>
        </w:rPr>
      </w:pPr>
      <w:r w:rsidRPr="009C1332">
        <w:rPr>
          <w:rFonts w:ascii="Arial" w:hAnsi="Arial" w:cs="Arial"/>
          <w:color w:val="000000" w:themeColor="text1"/>
          <w:sz w:val="24"/>
          <w:szCs w:val="24"/>
        </w:rPr>
        <w:t xml:space="preserve">provjeriti usklađenost poslovanja sa zakonima i drugim propisima koji imaju značajan utjecaj na financijsko poslovanje </w:t>
      </w:r>
    </w:p>
    <w:p w:rsidR="00F77353" w:rsidRPr="009C1332" w:rsidRDefault="00F77353" w:rsidP="006970C5">
      <w:pPr>
        <w:pStyle w:val="Odlomakpopisa"/>
        <w:numPr>
          <w:ilvl w:val="0"/>
          <w:numId w:val="25"/>
        </w:numPr>
        <w:spacing w:line="240" w:lineRule="auto"/>
        <w:jc w:val="both"/>
        <w:rPr>
          <w:rFonts w:ascii="Arial" w:hAnsi="Arial" w:cs="Arial"/>
          <w:color w:val="000000" w:themeColor="text1"/>
          <w:sz w:val="24"/>
          <w:szCs w:val="24"/>
        </w:rPr>
      </w:pPr>
      <w:r w:rsidRPr="009C1332">
        <w:rPr>
          <w:rFonts w:ascii="Arial" w:hAnsi="Arial" w:cs="Arial"/>
          <w:color w:val="000000" w:themeColor="text1"/>
          <w:sz w:val="24"/>
          <w:szCs w:val="24"/>
        </w:rPr>
        <w:t xml:space="preserve">provjeriti provedbu naloga i preporuka iz prošle revizije </w:t>
      </w:r>
    </w:p>
    <w:p w:rsidR="00F77353" w:rsidRPr="009C1332" w:rsidRDefault="00F77353" w:rsidP="006970C5">
      <w:pPr>
        <w:pStyle w:val="Odlomakpopisa"/>
        <w:numPr>
          <w:ilvl w:val="0"/>
          <w:numId w:val="25"/>
        </w:numPr>
        <w:spacing w:line="240" w:lineRule="auto"/>
        <w:jc w:val="both"/>
        <w:rPr>
          <w:rFonts w:ascii="Arial" w:hAnsi="Arial" w:cs="Arial"/>
          <w:color w:val="000000" w:themeColor="text1"/>
          <w:sz w:val="24"/>
          <w:szCs w:val="24"/>
        </w:rPr>
      </w:pPr>
      <w:r w:rsidRPr="009C1332">
        <w:rPr>
          <w:rFonts w:ascii="Arial" w:hAnsi="Arial" w:cs="Arial"/>
          <w:color w:val="000000" w:themeColor="text1"/>
          <w:sz w:val="24"/>
          <w:szCs w:val="24"/>
        </w:rPr>
        <w:t xml:space="preserve">provjeriti </w:t>
      </w:r>
      <w:r w:rsidR="00813521" w:rsidRPr="009C1332">
        <w:rPr>
          <w:rFonts w:ascii="Arial" w:hAnsi="Arial" w:cs="Arial"/>
          <w:color w:val="000000" w:themeColor="text1"/>
          <w:sz w:val="24"/>
          <w:szCs w:val="24"/>
        </w:rPr>
        <w:t xml:space="preserve">i </w:t>
      </w:r>
      <w:r w:rsidRPr="009C1332">
        <w:rPr>
          <w:rFonts w:ascii="Arial" w:hAnsi="Arial" w:cs="Arial"/>
          <w:color w:val="000000" w:themeColor="text1"/>
          <w:sz w:val="24"/>
          <w:szCs w:val="24"/>
        </w:rPr>
        <w:t>druge aktivnosti u vezi s poslovanjem.</w:t>
      </w:r>
    </w:p>
    <w:p w:rsidR="00F77353" w:rsidRDefault="00F77353" w:rsidP="006970C5">
      <w:pPr>
        <w:tabs>
          <w:tab w:val="left" w:pos="284"/>
          <w:tab w:val="left" w:pos="567"/>
          <w:tab w:val="left" w:pos="851"/>
        </w:tabs>
        <w:rPr>
          <w:b/>
        </w:rPr>
      </w:pPr>
      <w:r w:rsidRPr="00F77353">
        <w:t xml:space="preserve">O </w:t>
      </w:r>
      <w:r w:rsidRPr="00F77353">
        <w:rPr>
          <w:b/>
        </w:rPr>
        <w:t>financijskim izvještajima</w:t>
      </w:r>
      <w:r w:rsidRPr="00F77353">
        <w:t xml:space="preserve"> izražena su </w:t>
      </w:r>
      <w:r w:rsidRPr="00F77353">
        <w:rPr>
          <w:b/>
        </w:rPr>
        <w:t xml:space="preserve">četiri uvjetna mišljenja, </w:t>
      </w:r>
      <w:r w:rsidRPr="00F77353">
        <w:t xml:space="preserve">a o </w:t>
      </w:r>
      <w:r w:rsidRPr="00F77353">
        <w:rPr>
          <w:b/>
        </w:rPr>
        <w:t>usklađenosti poslovanja</w:t>
      </w:r>
      <w:r w:rsidRPr="00F77353">
        <w:t xml:space="preserve"> </w:t>
      </w:r>
      <w:r w:rsidRPr="00F77353">
        <w:rPr>
          <w:b/>
        </w:rPr>
        <w:t>tri uvjetna i jedno bezuvjetno mišljenje.</w:t>
      </w:r>
    </w:p>
    <w:p w:rsidR="00F77353" w:rsidRPr="00F77353" w:rsidRDefault="00F77353" w:rsidP="006970C5">
      <w:pPr>
        <w:tabs>
          <w:tab w:val="left" w:pos="284"/>
          <w:tab w:val="left" w:pos="567"/>
          <w:tab w:val="left" w:pos="851"/>
        </w:tabs>
      </w:pPr>
    </w:p>
    <w:p w:rsidR="00F77353" w:rsidRDefault="00F77353" w:rsidP="006970C5">
      <w:pPr>
        <w:tabs>
          <w:tab w:val="left" w:pos="284"/>
          <w:tab w:val="left" w:pos="567"/>
          <w:tab w:val="left" w:pos="851"/>
        </w:tabs>
        <w:rPr>
          <w:rFonts w:eastAsia="Calibri"/>
          <w:szCs w:val="22"/>
          <w:lang w:eastAsia="en-US"/>
        </w:rPr>
      </w:pPr>
      <w:r w:rsidRPr="00F77353">
        <w:rPr>
          <w:rFonts w:eastAsia="Calibri"/>
          <w:szCs w:val="22"/>
          <w:lang w:eastAsia="en-US"/>
        </w:rPr>
        <w:t xml:space="preserve">Na </w:t>
      </w:r>
      <w:r w:rsidRPr="00F77353">
        <w:rPr>
          <w:rFonts w:eastAsia="Calibri"/>
          <w:b/>
          <w:szCs w:val="22"/>
          <w:lang w:eastAsia="en-US"/>
        </w:rPr>
        <w:t xml:space="preserve">uvjetna mišljenja o financijskim izvještajima </w:t>
      </w:r>
      <w:r w:rsidR="00813521">
        <w:rPr>
          <w:rFonts w:eastAsia="Calibri"/>
          <w:b/>
          <w:szCs w:val="22"/>
          <w:lang w:eastAsia="en-US"/>
        </w:rPr>
        <w:t xml:space="preserve">(sva četiri korisnika) </w:t>
      </w:r>
      <w:r w:rsidRPr="00F77353">
        <w:rPr>
          <w:rFonts w:eastAsia="Calibri"/>
          <w:szCs w:val="22"/>
          <w:lang w:eastAsia="en-US"/>
        </w:rPr>
        <w:t>utjecale su nepravilnosti u računovodstvenom poslovanju i financijskom izvještavanju, zbog čega dio podataka iskazan u financijskim izvještajima nije točan.</w:t>
      </w:r>
    </w:p>
    <w:p w:rsidR="00F77353" w:rsidRPr="00F77353" w:rsidRDefault="00F77353" w:rsidP="006970C5">
      <w:pPr>
        <w:tabs>
          <w:tab w:val="left" w:pos="284"/>
          <w:tab w:val="left" w:pos="567"/>
          <w:tab w:val="left" w:pos="851"/>
        </w:tabs>
      </w:pPr>
    </w:p>
    <w:p w:rsidR="00F77353" w:rsidRPr="00F77353" w:rsidRDefault="00F77353" w:rsidP="006970C5">
      <w:pPr>
        <w:tabs>
          <w:tab w:val="left" w:pos="284"/>
          <w:tab w:val="left" w:pos="567"/>
          <w:tab w:val="left" w:pos="851"/>
        </w:tabs>
      </w:pPr>
      <w:r w:rsidRPr="00F77353">
        <w:t xml:space="preserve">Na </w:t>
      </w:r>
      <w:r w:rsidRPr="00F77353">
        <w:rPr>
          <w:b/>
        </w:rPr>
        <w:t>uvjetno mišlje</w:t>
      </w:r>
      <w:r w:rsidR="00813521">
        <w:rPr>
          <w:b/>
        </w:rPr>
        <w:t xml:space="preserve">nje o usklađenosti poslovanja </w:t>
      </w:r>
      <w:r w:rsidRPr="00F77353">
        <w:rPr>
          <w:b/>
        </w:rPr>
        <w:t>Ministarstva poljoprivrede, šumarstva i ribarstva</w:t>
      </w:r>
      <w:r w:rsidR="006B2C14">
        <w:rPr>
          <w:b/>
        </w:rPr>
        <w:t>;</w:t>
      </w:r>
      <w:r w:rsidR="002A2BF7" w:rsidRPr="00163097">
        <w:rPr>
          <w:b/>
        </w:rPr>
        <w:t xml:space="preserve"> </w:t>
      </w:r>
      <w:r w:rsidR="002A2BF7" w:rsidRPr="00163097">
        <w:rPr>
          <w:rFonts w:eastAsia="Calibri" w:cs="Arial"/>
          <w:b/>
          <w:lang w:eastAsia="en-US"/>
        </w:rPr>
        <w:t>Ministarstva financija, Carinske uprave</w:t>
      </w:r>
      <w:r w:rsidRPr="00163097">
        <w:rPr>
          <w:b/>
        </w:rPr>
        <w:t xml:space="preserve"> </w:t>
      </w:r>
      <w:r w:rsidRPr="00F77353">
        <w:rPr>
          <w:b/>
        </w:rPr>
        <w:t xml:space="preserve">te Agencije za pravni promet i posredovanje nekretninama </w:t>
      </w:r>
      <w:r w:rsidRPr="00F77353">
        <w:t>utjecale su nepravilnosti</w:t>
      </w:r>
      <w:r w:rsidRPr="00F77353">
        <w:rPr>
          <w:b/>
        </w:rPr>
        <w:t xml:space="preserve"> </w:t>
      </w:r>
      <w:r w:rsidRPr="00F77353">
        <w:t xml:space="preserve">u područjima djelokruga, sustava unutarnjih kontrola, planiranja i izvršenja plana, rashoda te imovine, a </w:t>
      </w:r>
      <w:r w:rsidR="00CE47B9">
        <w:t>odnos</w:t>
      </w:r>
      <w:r w:rsidR="002A2BF7">
        <w:t>ile su se</w:t>
      </w:r>
      <w:r w:rsidR="00CE47B9">
        <w:t xml:space="preserve"> </w:t>
      </w:r>
      <w:r w:rsidRPr="00F77353">
        <w:t>na</w:t>
      </w:r>
      <w:r w:rsidR="00163097">
        <w:t xml:space="preserve"> sljedeće</w:t>
      </w:r>
      <w:r w:rsidRPr="00F77353">
        <w:t>:</w:t>
      </w:r>
    </w:p>
    <w:p w:rsidR="00F77353" w:rsidRPr="00F77353" w:rsidRDefault="00F77353" w:rsidP="006970C5">
      <w:pPr>
        <w:tabs>
          <w:tab w:val="left" w:pos="284"/>
          <w:tab w:val="left" w:pos="567"/>
          <w:tab w:val="left" w:pos="851"/>
        </w:tabs>
      </w:pPr>
    </w:p>
    <w:p w:rsidR="00163097" w:rsidRDefault="00163097" w:rsidP="006970C5">
      <w:pPr>
        <w:widowControl/>
        <w:numPr>
          <w:ilvl w:val="0"/>
          <w:numId w:val="17"/>
        </w:numPr>
        <w:autoSpaceDE/>
        <w:autoSpaceDN/>
        <w:adjustRightInd/>
        <w:ind w:left="567" w:hanging="567"/>
        <w:rPr>
          <w:rFonts w:eastAsia="Calibri"/>
          <w:szCs w:val="22"/>
          <w:lang w:eastAsia="en-US"/>
        </w:rPr>
      </w:pPr>
      <w:r w:rsidRPr="00163097">
        <w:rPr>
          <w:rFonts w:eastAsia="Calibri"/>
          <w:szCs w:val="22"/>
          <w:lang w:eastAsia="en-US"/>
        </w:rPr>
        <w:t>Ministarstvo poljoprivrede, šumarstva i ribarstva do vremena obav</w:t>
      </w:r>
      <w:r w:rsidR="006B2C14">
        <w:rPr>
          <w:rFonts w:eastAsia="Calibri"/>
          <w:szCs w:val="22"/>
          <w:lang w:eastAsia="en-US"/>
        </w:rPr>
        <w:t>ljanja revizije (travanj 2025.)</w:t>
      </w:r>
      <w:r w:rsidRPr="00163097">
        <w:rPr>
          <w:rFonts w:eastAsia="Calibri"/>
          <w:szCs w:val="22"/>
          <w:lang w:eastAsia="en-US"/>
        </w:rPr>
        <w:t xml:space="preserve"> nije donijelo provedbene propise koje je </w:t>
      </w:r>
      <w:r w:rsidR="006B2C14">
        <w:rPr>
          <w:rFonts w:eastAsia="Calibri"/>
          <w:szCs w:val="22"/>
          <w:lang w:eastAsia="en-US"/>
        </w:rPr>
        <w:t>trebalo donijeti do konca 2024. U</w:t>
      </w:r>
      <w:r w:rsidRPr="00163097">
        <w:rPr>
          <w:rFonts w:eastAsia="Calibri"/>
          <w:szCs w:val="22"/>
          <w:lang w:eastAsia="en-US"/>
        </w:rPr>
        <w:t xml:space="preserve"> Registru evidencije ugovora i naplate za poljoprivredno zemljište u vla</w:t>
      </w:r>
      <w:r w:rsidR="006B2C14">
        <w:rPr>
          <w:rFonts w:eastAsia="Calibri"/>
          <w:szCs w:val="22"/>
          <w:lang w:eastAsia="en-US"/>
        </w:rPr>
        <w:t>sništvu Republike Hrvatske koji</w:t>
      </w:r>
      <w:r w:rsidRPr="00163097">
        <w:rPr>
          <w:rFonts w:eastAsia="Calibri"/>
          <w:szCs w:val="22"/>
          <w:lang w:eastAsia="en-US"/>
        </w:rPr>
        <w:t xml:space="preserve"> vodi Ministarstvo i u kojem je obvezno provjeravati upisane podatke (a podatke upisuju Ministarstvo, jedinice lokalne samouprave, Grad Zagreb i županije) djelomično su sadržani nepotpuni i/ili netočni podaci o poljoprivrednom zemljištu danom u zakup, koncesiju ili na korištenje te Registar ne sadrži evidenciju naplate po ugovorima, odnosno podatke o plaćanju po svim oblicima raspolaganja poljoprivrednim zemljištem u vlasništvu Repu</w:t>
      </w:r>
      <w:r w:rsidR="006B2C14">
        <w:rPr>
          <w:rFonts w:eastAsia="Calibri"/>
          <w:szCs w:val="22"/>
          <w:lang w:eastAsia="en-US"/>
        </w:rPr>
        <w:t>blike Hrvatske i po korisnicima. U</w:t>
      </w:r>
      <w:r w:rsidRPr="00163097">
        <w:rPr>
          <w:rFonts w:eastAsia="Calibri"/>
          <w:szCs w:val="22"/>
          <w:lang w:eastAsia="en-US"/>
        </w:rPr>
        <w:t xml:space="preserve"> Središnjem registru državne imovine, za 172 nekretnine unesene pod korisničkom oznakom Ministarstva, nepotpuno su uneseni podaci o adresi nekretnine, zemljišnoknjižnom stanju i katastarskom stanju nekretnine, a nisu uneseni podaci o nazivu nekretnine, pojavnom obliku, vrsti imovine i površini. </w:t>
      </w:r>
    </w:p>
    <w:p w:rsidR="00557BAA" w:rsidRDefault="00557BAA" w:rsidP="006970C5">
      <w:pPr>
        <w:widowControl/>
        <w:autoSpaceDE/>
        <w:autoSpaceDN/>
        <w:adjustRightInd/>
        <w:ind w:left="567"/>
        <w:rPr>
          <w:rFonts w:eastAsia="Calibri"/>
          <w:szCs w:val="22"/>
          <w:lang w:eastAsia="en-US"/>
        </w:rPr>
      </w:pPr>
    </w:p>
    <w:p w:rsidR="00557BAA" w:rsidRPr="00163097" w:rsidRDefault="00557BAA" w:rsidP="006970C5">
      <w:pPr>
        <w:widowControl/>
        <w:autoSpaceDE/>
        <w:autoSpaceDN/>
        <w:adjustRightInd/>
        <w:ind w:left="567"/>
        <w:rPr>
          <w:rFonts w:eastAsia="Calibri"/>
          <w:szCs w:val="22"/>
          <w:lang w:eastAsia="en-US"/>
        </w:rPr>
      </w:pPr>
    </w:p>
    <w:p w:rsidR="00163097" w:rsidRPr="00557BAA" w:rsidRDefault="00163097" w:rsidP="006970C5">
      <w:pPr>
        <w:widowControl/>
        <w:numPr>
          <w:ilvl w:val="0"/>
          <w:numId w:val="17"/>
        </w:numPr>
        <w:autoSpaceDE/>
        <w:autoSpaceDN/>
        <w:adjustRightInd/>
        <w:ind w:left="567" w:hanging="567"/>
        <w:rPr>
          <w:rFonts w:eastAsia="Calibri"/>
          <w:szCs w:val="22"/>
          <w:lang w:eastAsia="en-US"/>
        </w:rPr>
      </w:pPr>
      <w:r w:rsidRPr="00557BAA">
        <w:rPr>
          <w:rFonts w:eastAsia="Calibri"/>
          <w:szCs w:val="22"/>
          <w:lang w:eastAsia="en-US"/>
        </w:rPr>
        <w:lastRenderedPageBreak/>
        <w:t xml:space="preserve">Carinska uprava nije izradila prijedloge nacrta više podzakonskih akata iz svoje nadležnosti te ih nije dostavila ministru financija na donošenje, a trebali su </w:t>
      </w:r>
      <w:r w:rsidR="006E1DA5" w:rsidRPr="00557BAA">
        <w:rPr>
          <w:rFonts w:eastAsia="Calibri"/>
          <w:szCs w:val="22"/>
          <w:lang w:eastAsia="en-US"/>
        </w:rPr>
        <w:t>biti doneseni prije više godina</w:t>
      </w:r>
      <w:r w:rsidR="00BD186C" w:rsidRPr="00557BAA">
        <w:rPr>
          <w:rFonts w:eastAsia="Calibri"/>
          <w:szCs w:val="22"/>
          <w:lang w:eastAsia="en-US"/>
        </w:rPr>
        <w:t>.</w:t>
      </w:r>
      <w:r w:rsidR="006E1DA5" w:rsidRPr="00557BAA">
        <w:rPr>
          <w:rFonts w:eastAsia="Calibri"/>
          <w:szCs w:val="22"/>
          <w:lang w:eastAsia="en-US"/>
        </w:rPr>
        <w:t xml:space="preserve"> N</w:t>
      </w:r>
      <w:r w:rsidRPr="00557BAA">
        <w:rPr>
          <w:rFonts w:eastAsia="Calibri"/>
          <w:szCs w:val="22"/>
          <w:lang w:eastAsia="en-US"/>
        </w:rPr>
        <w:t>ije na mrežnim stranicama objavila informacije o besplatno dodijeljenoj robi oduzetoj u prekršajnim postupcima; nije izradila obrazloženje općeg dijela financijskog plana niti na mrežnim stranicama objavila izmjene i dop</w:t>
      </w:r>
      <w:r w:rsidR="006E1DA5" w:rsidRPr="00557BAA">
        <w:rPr>
          <w:rFonts w:eastAsia="Calibri"/>
          <w:szCs w:val="22"/>
          <w:lang w:eastAsia="en-US"/>
        </w:rPr>
        <w:t>une financijskog plana, kao ni</w:t>
      </w:r>
      <w:r w:rsidRPr="00557BAA">
        <w:rPr>
          <w:rFonts w:eastAsia="Calibri"/>
          <w:szCs w:val="22"/>
          <w:lang w:eastAsia="en-US"/>
        </w:rPr>
        <w:t xml:space="preserve"> polugodišn</w:t>
      </w:r>
      <w:r w:rsidR="00E61E9A" w:rsidRPr="00557BAA">
        <w:rPr>
          <w:rFonts w:eastAsia="Calibri"/>
          <w:szCs w:val="22"/>
          <w:lang w:eastAsia="en-US"/>
        </w:rPr>
        <w:t>i izvještaj</w:t>
      </w:r>
      <w:r w:rsidRPr="00557BAA">
        <w:rPr>
          <w:rFonts w:eastAsia="Calibri"/>
          <w:szCs w:val="22"/>
          <w:lang w:eastAsia="en-US"/>
        </w:rPr>
        <w:t xml:space="preserve"> o izvrše</w:t>
      </w:r>
      <w:r w:rsidR="006E1DA5" w:rsidRPr="00557BAA">
        <w:rPr>
          <w:rFonts w:eastAsia="Calibri"/>
          <w:szCs w:val="22"/>
          <w:lang w:eastAsia="en-US"/>
        </w:rPr>
        <w:t>nju financijskog plana za 2024. P</w:t>
      </w:r>
      <w:r w:rsidRPr="00557BAA">
        <w:rPr>
          <w:rFonts w:eastAsia="Calibri"/>
          <w:szCs w:val="22"/>
          <w:lang w:eastAsia="en-US"/>
        </w:rPr>
        <w:t>rekovremeni rad za 15 zaposlenika trajao je do 40 sati više od propisanog ograničenja godišnjeg broja sati (250 godišnje)</w:t>
      </w:r>
      <w:r w:rsidR="004137CC" w:rsidRPr="00557BAA">
        <w:rPr>
          <w:rFonts w:eastAsia="Calibri"/>
          <w:szCs w:val="22"/>
          <w:lang w:eastAsia="en-US"/>
        </w:rPr>
        <w:t>.</w:t>
      </w:r>
    </w:p>
    <w:p w:rsidR="00163097" w:rsidRPr="00163097" w:rsidRDefault="00163097" w:rsidP="006970C5">
      <w:pPr>
        <w:widowControl/>
        <w:numPr>
          <w:ilvl w:val="0"/>
          <w:numId w:val="17"/>
        </w:numPr>
        <w:autoSpaceDE/>
        <w:autoSpaceDN/>
        <w:adjustRightInd/>
        <w:ind w:left="567" w:hanging="567"/>
        <w:contextualSpacing/>
        <w:rPr>
          <w:rFonts w:eastAsia="Calibri"/>
          <w:szCs w:val="22"/>
          <w:lang w:eastAsia="en-US"/>
        </w:rPr>
      </w:pPr>
      <w:r w:rsidRPr="00163097">
        <w:rPr>
          <w:rFonts w:eastAsia="Calibri"/>
          <w:szCs w:val="22"/>
          <w:lang w:eastAsia="en-US"/>
        </w:rPr>
        <w:t>Financijskim planom Agencije za pravni promet i posredovanje nekretninama za 2024. sredstva za financiranje pojedinih rashoda i izdataka nisu planirana (ni izvršena) u okviru pr</w:t>
      </w:r>
      <w:r w:rsidR="006E1DA5">
        <w:rPr>
          <w:rFonts w:eastAsia="Calibri"/>
          <w:szCs w:val="22"/>
          <w:lang w:eastAsia="en-US"/>
        </w:rPr>
        <w:t>opisanih računa Računskog plana.</w:t>
      </w:r>
      <w:r w:rsidRPr="00163097">
        <w:rPr>
          <w:rFonts w:eastAsia="Calibri"/>
          <w:szCs w:val="22"/>
          <w:lang w:eastAsia="en-US"/>
        </w:rPr>
        <w:t xml:space="preserve"> Agencija je za 2024. donijela Godišnji program rada i Godišnje izvješće o poslovanju, ali n</w:t>
      </w:r>
      <w:r w:rsidR="006E1DA5">
        <w:rPr>
          <w:rFonts w:eastAsia="Calibri"/>
          <w:szCs w:val="22"/>
          <w:lang w:eastAsia="en-US"/>
        </w:rPr>
        <w:t>e sadrže sve propisane elemente. D</w:t>
      </w:r>
      <w:r w:rsidRPr="00163097">
        <w:rPr>
          <w:rFonts w:eastAsia="Calibri"/>
          <w:szCs w:val="22"/>
          <w:lang w:eastAsia="en-US"/>
        </w:rPr>
        <w:t xml:space="preserve">o vremena obavljanja revizije (svibanj </w:t>
      </w:r>
      <w:r w:rsidR="00E61E9A">
        <w:rPr>
          <w:rFonts w:eastAsia="Calibri"/>
          <w:szCs w:val="22"/>
          <w:lang w:eastAsia="en-US"/>
        </w:rPr>
        <w:t xml:space="preserve">2025.) nije u </w:t>
      </w:r>
      <w:r w:rsidRPr="00163097">
        <w:rPr>
          <w:rFonts w:eastAsia="Calibri"/>
          <w:szCs w:val="22"/>
          <w:lang w:eastAsia="en-US"/>
        </w:rPr>
        <w:t>Središnji registar državne imovine dostavila podatke o poslovnim prostorima i garažama koje koristi u Zagrebu i Osijeku, devet automobila te 324 garaže, 188 stanova i četiri poslovna prostora izgrađenih u okviru Programa POS niti je dostavila podatke o zemljištima ukupne površine 98 158 m</w:t>
      </w:r>
      <w:r w:rsidRPr="006E1DA5">
        <w:rPr>
          <w:rFonts w:eastAsia="Calibri"/>
          <w:szCs w:val="22"/>
          <w:vertAlign w:val="superscript"/>
          <w:lang w:eastAsia="en-US"/>
        </w:rPr>
        <w:t>2</w:t>
      </w:r>
      <w:r w:rsidRPr="00163097">
        <w:rPr>
          <w:rFonts w:eastAsia="Calibri"/>
          <w:szCs w:val="22"/>
          <w:lang w:eastAsia="en-US"/>
        </w:rPr>
        <w:t xml:space="preserve"> koja su prenesena s jedinica lokalne samouprave na Agenciju (za potrebe izgradnje višestambenih zgrada za privremeno stambeno zbrinjavanje potresom pogođenog stanovništva te za provedbu Programa POS).</w:t>
      </w:r>
    </w:p>
    <w:p w:rsidR="00F30EB7" w:rsidRDefault="00F30EB7" w:rsidP="006970C5">
      <w:pPr>
        <w:rPr>
          <w:rFonts w:cs="Arial"/>
        </w:rPr>
      </w:pPr>
    </w:p>
    <w:p w:rsidR="00163097" w:rsidRDefault="00163097" w:rsidP="006970C5">
      <w:pPr>
        <w:rPr>
          <w:rFonts w:cs="Arial"/>
        </w:rPr>
      </w:pPr>
      <w:r>
        <w:rPr>
          <w:rFonts w:cs="Arial"/>
        </w:rPr>
        <w:t>Osim navedenih</w:t>
      </w:r>
      <w:r w:rsidR="00F77353" w:rsidRPr="00F77353">
        <w:rPr>
          <w:rFonts w:cs="Arial"/>
        </w:rPr>
        <w:t xml:space="preserve">, u revizijama </w:t>
      </w:r>
      <w:r w:rsidRPr="00163097">
        <w:rPr>
          <w:rFonts w:cs="Arial"/>
        </w:rPr>
        <w:t>ov</w:t>
      </w:r>
      <w:r>
        <w:rPr>
          <w:rFonts w:cs="Arial"/>
        </w:rPr>
        <w:t>a tri subjekta revizije</w:t>
      </w:r>
      <w:r w:rsidR="00F77353" w:rsidRPr="00F77353">
        <w:rPr>
          <w:rFonts w:cs="Arial"/>
        </w:rPr>
        <w:t xml:space="preserve"> utvrđene su </w:t>
      </w:r>
      <w:r>
        <w:rPr>
          <w:rFonts w:cs="Arial"/>
        </w:rPr>
        <w:t>i druge</w:t>
      </w:r>
      <w:r w:rsidR="006E1DA5">
        <w:rPr>
          <w:rFonts w:cs="Arial"/>
        </w:rPr>
        <w:t xml:space="preserve"> nepravilnosti i propusti koji nisu utjecali</w:t>
      </w:r>
      <w:r w:rsidR="00F77353" w:rsidRPr="00F77353">
        <w:rPr>
          <w:rFonts w:cs="Arial"/>
        </w:rPr>
        <w:t xml:space="preserve"> na izražavanje mišljenja o usklađenosti poslovanja. </w:t>
      </w:r>
    </w:p>
    <w:p w:rsidR="00F30EB7" w:rsidRDefault="00F30EB7" w:rsidP="006970C5">
      <w:pPr>
        <w:rPr>
          <w:rFonts w:cs="Arial"/>
        </w:rPr>
      </w:pPr>
    </w:p>
    <w:p w:rsidR="00F77353" w:rsidRDefault="00F77353" w:rsidP="006970C5">
      <w:r w:rsidRPr="00F77353">
        <w:rPr>
          <w:rFonts w:cs="Arial"/>
        </w:rPr>
        <w:t xml:space="preserve">Nadalje, u reviziji </w:t>
      </w:r>
      <w:r w:rsidRPr="00F77353">
        <w:rPr>
          <w:rFonts w:cs="Arial"/>
          <w:b/>
        </w:rPr>
        <w:t>Nacionalne i sveučilišne knjižnice u Zagrebu</w:t>
      </w:r>
      <w:r w:rsidRPr="00F77353">
        <w:rPr>
          <w:rFonts w:cs="Arial"/>
        </w:rPr>
        <w:t xml:space="preserve"> utvrđeni su </w:t>
      </w:r>
      <w:r w:rsidR="002A2BF7">
        <w:rPr>
          <w:rFonts w:cs="Arial"/>
        </w:rPr>
        <w:t xml:space="preserve">nepravilnost i propust u vezi sa </w:t>
      </w:r>
      <w:r w:rsidRPr="00F77353">
        <w:rPr>
          <w:rFonts w:cs="Arial"/>
        </w:rPr>
        <w:t>zaključivanjem ugovor</w:t>
      </w:r>
      <w:r w:rsidR="00163097">
        <w:rPr>
          <w:rFonts w:cs="Arial"/>
        </w:rPr>
        <w:t>a o djelu, koji</w:t>
      </w:r>
      <w:r w:rsidRPr="00F77353">
        <w:rPr>
          <w:rFonts w:cs="Arial"/>
        </w:rPr>
        <w:t xml:space="preserve"> nisu utjecali na izražavanje mišljenja o usklađenosti poslovanja.</w:t>
      </w:r>
      <w:r w:rsidRPr="00F77353">
        <w:t xml:space="preserve"> </w:t>
      </w:r>
    </w:p>
    <w:p w:rsidR="00F30EB7" w:rsidRPr="00F77353" w:rsidRDefault="00F30EB7" w:rsidP="006970C5">
      <w:pPr>
        <w:rPr>
          <w:rFonts w:cs="Arial"/>
        </w:rPr>
      </w:pPr>
    </w:p>
    <w:p w:rsidR="00F77353" w:rsidRDefault="00F77353" w:rsidP="006970C5">
      <w:pPr>
        <w:tabs>
          <w:tab w:val="left" w:pos="284"/>
          <w:tab w:val="left" w:pos="567"/>
          <w:tab w:val="left" w:pos="851"/>
        </w:tabs>
      </w:pPr>
      <w:r w:rsidRPr="00F77353">
        <w:t xml:space="preserve">Za sve utvrđene nepravilnosti i propuste </w:t>
      </w:r>
      <w:r w:rsidR="00163097">
        <w:t xml:space="preserve">ovim subjektima revizije dano </w:t>
      </w:r>
      <w:r w:rsidR="008048D7">
        <w:t>je</w:t>
      </w:r>
      <w:r w:rsidR="008048D7" w:rsidRPr="00F77353">
        <w:t xml:space="preserve"> </w:t>
      </w:r>
      <w:r w:rsidRPr="00F77353">
        <w:t xml:space="preserve">ukupno </w:t>
      </w:r>
      <w:r w:rsidRPr="00F77353">
        <w:rPr>
          <w:b/>
        </w:rPr>
        <w:t>67 naloga i preporuka</w:t>
      </w:r>
      <w:r w:rsidR="00A22551">
        <w:rPr>
          <w:b/>
        </w:rPr>
        <w:t>.</w:t>
      </w:r>
      <w:r w:rsidRPr="00F77353">
        <w:t xml:space="preserve"> Osim toga, utvrđeno je da je</w:t>
      </w:r>
      <w:r w:rsidR="008048D7">
        <w:t>,</w:t>
      </w:r>
      <w:r w:rsidRPr="00F77353">
        <w:t xml:space="preserve"> od </w:t>
      </w:r>
      <w:r w:rsidRPr="00F77353">
        <w:rPr>
          <w:b/>
        </w:rPr>
        <w:t>41</w:t>
      </w:r>
      <w:r w:rsidRPr="00F77353">
        <w:t xml:space="preserve"> naloga i preporuke danih u prošlim revizijama, </w:t>
      </w:r>
      <w:r w:rsidRPr="00F77353">
        <w:rPr>
          <w:b/>
        </w:rPr>
        <w:t>28 ili 68,3 % provedeno,</w:t>
      </w:r>
      <w:r w:rsidRPr="00F77353">
        <w:t xml:space="preserve"> </w:t>
      </w:r>
      <w:r w:rsidRPr="00F77353">
        <w:rPr>
          <w:b/>
        </w:rPr>
        <w:t>četiri ili 9,8 %</w:t>
      </w:r>
      <w:r w:rsidR="004647B5">
        <w:rPr>
          <w:b/>
        </w:rPr>
        <w:t xml:space="preserve"> </w:t>
      </w:r>
      <w:r w:rsidRPr="00F77353">
        <w:rPr>
          <w:b/>
        </w:rPr>
        <w:t>djelomično provedeno</w:t>
      </w:r>
      <w:r w:rsidRPr="00F77353">
        <w:t xml:space="preserve">, </w:t>
      </w:r>
      <w:r w:rsidRPr="00F77353">
        <w:rPr>
          <w:b/>
        </w:rPr>
        <w:t>osam ili</w:t>
      </w:r>
      <w:r w:rsidR="00F30EB7">
        <w:rPr>
          <w:b/>
        </w:rPr>
        <w:t xml:space="preserve">     </w:t>
      </w:r>
      <w:r w:rsidRPr="00F77353">
        <w:rPr>
          <w:b/>
        </w:rPr>
        <w:t xml:space="preserve"> 19,5 %</w:t>
      </w:r>
      <w:r w:rsidRPr="00F77353">
        <w:t xml:space="preserve"> </w:t>
      </w:r>
      <w:r w:rsidRPr="00F77353">
        <w:rPr>
          <w:b/>
        </w:rPr>
        <w:t>nije provedeno, a jedna preporuka nije primjenjiva</w:t>
      </w:r>
      <w:r w:rsidRPr="00F77353">
        <w:t xml:space="preserve"> zbog promjene propisa. </w:t>
      </w:r>
    </w:p>
    <w:p w:rsidR="00557BAA" w:rsidRDefault="00557BAA" w:rsidP="006970C5">
      <w:pPr>
        <w:tabs>
          <w:tab w:val="left" w:pos="284"/>
          <w:tab w:val="left" w:pos="567"/>
          <w:tab w:val="left" w:pos="851"/>
        </w:tabs>
      </w:pPr>
    </w:p>
    <w:p w:rsidR="00F77353" w:rsidRPr="00F77353" w:rsidRDefault="00F77353" w:rsidP="006970C5">
      <w:pPr>
        <w:tabs>
          <w:tab w:val="left" w:pos="284"/>
          <w:tab w:val="left" w:pos="567"/>
          <w:tab w:val="left" w:pos="851"/>
        </w:tabs>
      </w:pPr>
      <w:r w:rsidRPr="00F77353">
        <w:tab/>
        <w:t xml:space="preserve"> </w:t>
      </w:r>
    </w:p>
    <w:p w:rsidR="00FA7EE6" w:rsidRPr="00257731" w:rsidRDefault="00D96A58" w:rsidP="006970C5">
      <w:pPr>
        <w:shd w:val="clear" w:color="auto" w:fill="DBE5F1" w:themeFill="accent1" w:themeFillTint="33"/>
        <w:rPr>
          <w:rFonts w:eastAsia="Calibri" w:cs="Arial"/>
          <w:b/>
        </w:rPr>
      </w:pPr>
      <w:r w:rsidRPr="00257731">
        <w:rPr>
          <w:rFonts w:eastAsia="Calibri" w:cs="Arial"/>
          <w:b/>
        </w:rPr>
        <w:t xml:space="preserve">JEDINICE LOKALNE </w:t>
      </w:r>
      <w:r w:rsidR="00F30EB7">
        <w:rPr>
          <w:rFonts w:eastAsia="Calibri" w:cs="Arial"/>
          <w:b/>
        </w:rPr>
        <w:t xml:space="preserve">I PODRUČNE (REGIONALNE) </w:t>
      </w:r>
      <w:r w:rsidRPr="00257731">
        <w:rPr>
          <w:rFonts w:eastAsia="Calibri" w:cs="Arial"/>
          <w:b/>
        </w:rPr>
        <w:t xml:space="preserve">SAMOUPRAVE </w:t>
      </w:r>
      <w:r>
        <w:rPr>
          <w:rFonts w:eastAsia="Calibri" w:cs="Arial"/>
          <w:b/>
        </w:rPr>
        <w:t xml:space="preserve">I </w:t>
      </w:r>
      <w:r w:rsidR="00DB473F">
        <w:rPr>
          <w:rFonts w:eastAsia="Calibri" w:cs="Arial"/>
          <w:b/>
        </w:rPr>
        <w:t xml:space="preserve">NJIHOVI </w:t>
      </w:r>
      <w:r w:rsidRPr="00DB473F">
        <w:rPr>
          <w:rFonts w:eastAsia="Calibri" w:cs="Arial"/>
          <w:b/>
        </w:rPr>
        <w:t xml:space="preserve">PRORAČUNSKI KORISNICI </w:t>
      </w:r>
    </w:p>
    <w:p w:rsidR="002471C1" w:rsidRDefault="002471C1" w:rsidP="006970C5">
      <w:pPr>
        <w:rPr>
          <w:rFonts w:eastAsia="Calibri" w:cs="Arial"/>
          <w:b/>
        </w:rPr>
      </w:pPr>
    </w:p>
    <w:p w:rsidR="00B835B5" w:rsidRPr="00B835B5" w:rsidRDefault="00D772EB" w:rsidP="006970C5">
      <w:pPr>
        <w:tabs>
          <w:tab w:val="left" w:pos="284"/>
          <w:tab w:val="left" w:pos="567"/>
          <w:tab w:val="left" w:pos="851"/>
        </w:tabs>
        <w:rPr>
          <w:b/>
        </w:rPr>
      </w:pPr>
      <w:r>
        <w:t>R</w:t>
      </w:r>
      <w:r w:rsidR="00B835B5" w:rsidRPr="00B835B5">
        <w:t xml:space="preserve">evizijom </w:t>
      </w:r>
      <w:r w:rsidR="00B835B5" w:rsidRPr="00B835B5">
        <w:rPr>
          <w:b/>
        </w:rPr>
        <w:t xml:space="preserve">16 jedinica lokalne samouprave (devet gradova: </w:t>
      </w:r>
      <w:r w:rsidR="00B835B5" w:rsidRPr="00B835B5">
        <w:t xml:space="preserve">Bakar, Nova Gradiška, Novalja, Opatija, Orahovica, Ploče, Senj, Sisak i Trilj te </w:t>
      </w:r>
      <w:r w:rsidR="00B835B5" w:rsidRPr="00B835B5">
        <w:rPr>
          <w:b/>
        </w:rPr>
        <w:t>sedam općina:</w:t>
      </w:r>
      <w:r w:rsidR="00B835B5" w:rsidRPr="00B835B5">
        <w:t xml:space="preserve"> Bibinje, Bilice, Klakar, Petrijanec, </w:t>
      </w:r>
      <w:r w:rsidR="00B835B5" w:rsidRPr="00B835B5">
        <w:rPr>
          <w:color w:val="000000" w:themeColor="text1"/>
        </w:rPr>
        <w:t xml:space="preserve">Primošten, Tar-Vabriga – Torre-Abrega </w:t>
      </w:r>
      <w:r w:rsidR="00B835B5" w:rsidRPr="00B835B5">
        <w:t xml:space="preserve">i Trnovec Bartolovečki) </w:t>
      </w:r>
      <w:r w:rsidR="00620A4F">
        <w:rPr>
          <w:b/>
        </w:rPr>
        <w:t>te</w:t>
      </w:r>
      <w:r w:rsidR="00B835B5" w:rsidRPr="00B835B5">
        <w:rPr>
          <w:b/>
        </w:rPr>
        <w:t xml:space="preserve"> dva proračunska korisnika jedinica lokalne i područne (regionalne) samouprave</w:t>
      </w:r>
      <w:r w:rsidR="00B835B5" w:rsidRPr="00B835B5">
        <w:t xml:space="preserve"> (Javna ustanova za upravljanje Park-šumom Marjan, Split i Srednja škola Zabok) obuhvaćeni su </w:t>
      </w:r>
      <w:r w:rsidR="00B835B5" w:rsidRPr="00B835B5">
        <w:rPr>
          <w:b/>
        </w:rPr>
        <w:t xml:space="preserve">financijski izvještaji i poslovanje za 2023. </w:t>
      </w:r>
    </w:p>
    <w:p w:rsidR="00B835B5" w:rsidRPr="00B835B5" w:rsidRDefault="00B835B5" w:rsidP="006970C5">
      <w:pPr>
        <w:tabs>
          <w:tab w:val="left" w:pos="284"/>
          <w:tab w:val="left" w:pos="567"/>
          <w:tab w:val="left" w:pos="851"/>
        </w:tabs>
        <w:rPr>
          <w:b/>
          <w:color w:val="000000" w:themeColor="text1"/>
        </w:rPr>
      </w:pPr>
    </w:p>
    <w:p w:rsidR="00B835B5" w:rsidRPr="00B835B5" w:rsidRDefault="00B835B5" w:rsidP="006970C5">
      <w:pPr>
        <w:rPr>
          <w:color w:val="000000" w:themeColor="text1"/>
        </w:rPr>
      </w:pPr>
      <w:r w:rsidRPr="00B835B5">
        <w:rPr>
          <w:color w:val="000000" w:themeColor="text1"/>
        </w:rPr>
        <w:t>Ciljevi revizije bili su:</w:t>
      </w:r>
    </w:p>
    <w:p w:rsidR="00B835B5" w:rsidRPr="00B835B5" w:rsidRDefault="00B835B5" w:rsidP="006970C5">
      <w:pPr>
        <w:widowControl/>
        <w:numPr>
          <w:ilvl w:val="0"/>
          <w:numId w:val="2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color w:val="000000" w:themeColor="text1"/>
          <w:szCs w:val="20"/>
        </w:rPr>
      </w:pPr>
      <w:r w:rsidRPr="00B835B5">
        <w:rPr>
          <w:color w:val="000000" w:themeColor="text1"/>
          <w:szCs w:val="20"/>
        </w:rPr>
        <w:t xml:space="preserve">provjeriti istinitost i vjerodostojnost financijskih izvještaja </w:t>
      </w:r>
    </w:p>
    <w:p w:rsidR="00B835B5" w:rsidRPr="00B835B5" w:rsidRDefault="00B835B5" w:rsidP="006970C5">
      <w:pPr>
        <w:widowControl/>
        <w:numPr>
          <w:ilvl w:val="0"/>
          <w:numId w:val="2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color w:val="000000" w:themeColor="text1"/>
          <w:szCs w:val="20"/>
        </w:rPr>
      </w:pPr>
      <w:r w:rsidRPr="00B835B5">
        <w:rPr>
          <w:color w:val="000000" w:themeColor="text1"/>
          <w:szCs w:val="20"/>
        </w:rPr>
        <w:t xml:space="preserve">provjeriti usklađenost poslovanja sa zakonima i drugim propisima koji imaju značajan utjecaj na poslovanje </w:t>
      </w:r>
    </w:p>
    <w:p w:rsidR="00B835B5" w:rsidRPr="00B835B5" w:rsidRDefault="00B835B5" w:rsidP="006970C5">
      <w:pPr>
        <w:widowControl/>
        <w:numPr>
          <w:ilvl w:val="0"/>
          <w:numId w:val="2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color w:val="000000" w:themeColor="text1"/>
          <w:szCs w:val="20"/>
        </w:rPr>
      </w:pPr>
      <w:r w:rsidRPr="00B835B5">
        <w:rPr>
          <w:color w:val="000000" w:themeColor="text1"/>
          <w:szCs w:val="20"/>
        </w:rPr>
        <w:t xml:space="preserve">provjeriti provedbu naloga i preporuka iz prošle revizije </w:t>
      </w:r>
    </w:p>
    <w:p w:rsidR="00B835B5" w:rsidRPr="00B835B5" w:rsidRDefault="00B835B5" w:rsidP="006970C5">
      <w:pPr>
        <w:widowControl/>
        <w:numPr>
          <w:ilvl w:val="0"/>
          <w:numId w:val="2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color w:val="000000" w:themeColor="text1"/>
          <w:szCs w:val="20"/>
        </w:rPr>
      </w:pPr>
      <w:r w:rsidRPr="00B835B5">
        <w:rPr>
          <w:color w:val="000000" w:themeColor="text1"/>
          <w:szCs w:val="20"/>
        </w:rPr>
        <w:t>provjeriti druge aktivnosti u vezi s poslovanjem.</w:t>
      </w:r>
    </w:p>
    <w:p w:rsidR="00B835B5" w:rsidRDefault="00B835B5"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color w:val="7030A0"/>
          <w:szCs w:val="20"/>
        </w:rPr>
      </w:pPr>
    </w:p>
    <w:p w:rsidR="006970C5" w:rsidRDefault="006970C5"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color w:val="7030A0"/>
          <w:szCs w:val="20"/>
        </w:rPr>
      </w:pPr>
    </w:p>
    <w:p w:rsidR="006970C5" w:rsidRPr="00B835B5" w:rsidRDefault="006970C5"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color w:val="7030A0"/>
          <w:szCs w:val="20"/>
        </w:rPr>
      </w:pPr>
    </w:p>
    <w:p w:rsidR="00B835B5" w:rsidRPr="00B835B5" w:rsidRDefault="00B835B5" w:rsidP="006970C5">
      <w:pPr>
        <w:tabs>
          <w:tab w:val="left" w:pos="284"/>
          <w:tab w:val="left" w:pos="567"/>
          <w:tab w:val="left" w:pos="851"/>
        </w:tabs>
      </w:pPr>
      <w:r w:rsidRPr="00FF6B75">
        <w:rPr>
          <w:b/>
        </w:rPr>
        <w:lastRenderedPageBreak/>
        <w:t>O financijskim izvještajima</w:t>
      </w:r>
      <w:r w:rsidR="00620A4F">
        <w:t xml:space="preserve"> izražena su</w:t>
      </w:r>
      <w:r w:rsidRPr="00B835B5">
        <w:t xml:space="preserve"> </w:t>
      </w:r>
      <w:r w:rsidRPr="00B835B5">
        <w:rPr>
          <w:b/>
        </w:rPr>
        <w:t>tri bezuvjetna, 14 uvjetnih i jedno nepovoljno mišljenje</w:t>
      </w:r>
      <w:r w:rsidRPr="00B835B5">
        <w:t xml:space="preserve">, a </w:t>
      </w:r>
      <w:r w:rsidRPr="00FF6B75">
        <w:rPr>
          <w:b/>
        </w:rPr>
        <w:t>o usklađenosti poslovanja</w:t>
      </w:r>
      <w:r w:rsidRPr="00B835B5">
        <w:t xml:space="preserve"> </w:t>
      </w:r>
      <w:r w:rsidRPr="00B835B5">
        <w:rPr>
          <w:b/>
        </w:rPr>
        <w:t xml:space="preserve">sedam bezuvjetnih i jedanaest uvjetnih mišljenja.  </w:t>
      </w:r>
    </w:p>
    <w:p w:rsidR="00B835B5" w:rsidRPr="00B835B5" w:rsidRDefault="00B835B5" w:rsidP="006970C5">
      <w:pPr>
        <w:tabs>
          <w:tab w:val="left" w:pos="284"/>
          <w:tab w:val="left" w:pos="567"/>
          <w:tab w:val="left" w:pos="851"/>
        </w:tabs>
      </w:pPr>
      <w:r w:rsidRPr="00B835B5">
        <w:tab/>
      </w:r>
      <w:r w:rsidRPr="00B835B5">
        <w:tab/>
        <w:t xml:space="preserve"> </w:t>
      </w:r>
    </w:p>
    <w:p w:rsidR="00B835B5" w:rsidRPr="00B835B5" w:rsidRDefault="00B835B5" w:rsidP="006970C5">
      <w:pPr>
        <w:tabs>
          <w:tab w:val="left" w:pos="284"/>
          <w:tab w:val="left" w:pos="567"/>
          <w:tab w:val="left" w:pos="851"/>
        </w:tabs>
      </w:pPr>
      <w:r w:rsidRPr="00B835B5">
        <w:rPr>
          <w:rFonts w:eastAsia="Calibri"/>
          <w:szCs w:val="22"/>
          <w:lang w:eastAsia="en-US"/>
        </w:rPr>
        <w:t xml:space="preserve">Na </w:t>
      </w:r>
      <w:r w:rsidRPr="00B835B5">
        <w:rPr>
          <w:rFonts w:eastAsia="Calibri"/>
          <w:b/>
          <w:szCs w:val="22"/>
          <w:lang w:eastAsia="en-US"/>
        </w:rPr>
        <w:t>uvjetno mišljenje o financijskim izvještajima</w:t>
      </w:r>
      <w:r w:rsidRPr="00B835B5">
        <w:rPr>
          <w:rFonts w:eastAsia="Calibri"/>
          <w:szCs w:val="22"/>
          <w:lang w:eastAsia="en-US"/>
        </w:rPr>
        <w:t xml:space="preserve"> utjecale su nepravilnosti u računovodstvenom poslovanju, zbog čega pojedini podaci u financijskim izvještajima nisu točno iskazani. </w:t>
      </w:r>
      <w:r w:rsidRPr="00B835B5">
        <w:t xml:space="preserve">Utvrđene nepravilnosti odnose se na ustrojavanje i vođenje poslovnih knjiga, evidentiranje poslovnih događaja, na propisanim računima i na temelju urednih i vjerodostojnih knjigovodstvenih isprava te obavljanje popisa imovine i obveza. </w:t>
      </w:r>
    </w:p>
    <w:p w:rsidR="00B835B5" w:rsidRPr="00B835B5" w:rsidRDefault="00B835B5" w:rsidP="006970C5">
      <w:pPr>
        <w:tabs>
          <w:tab w:val="left" w:pos="284"/>
          <w:tab w:val="left" w:pos="567"/>
          <w:tab w:val="left" w:pos="851"/>
        </w:tabs>
      </w:pPr>
      <w:r w:rsidRPr="00B835B5">
        <w:tab/>
      </w:r>
    </w:p>
    <w:p w:rsidR="00B835B5" w:rsidRDefault="00B835B5" w:rsidP="006970C5">
      <w:pPr>
        <w:tabs>
          <w:tab w:val="left" w:pos="284"/>
          <w:tab w:val="left" w:pos="567"/>
          <w:tab w:val="left" w:pos="851"/>
        </w:tabs>
      </w:pPr>
      <w:r w:rsidRPr="00B835B5">
        <w:t xml:space="preserve">Na </w:t>
      </w:r>
      <w:r w:rsidRPr="00B835B5">
        <w:rPr>
          <w:b/>
        </w:rPr>
        <w:t>uvjetno mišljenje o usklađenosti poslovanja</w:t>
      </w:r>
      <w:r w:rsidRPr="00B835B5">
        <w:t xml:space="preserve"> utjecale su nepravilnosti utvrđene zbog nepoštivanja određenih zakona i drugih propisa</w:t>
      </w:r>
      <w:r w:rsidR="006139F4">
        <w:t xml:space="preserve">, </w:t>
      </w:r>
      <w:r w:rsidR="00DB3C16">
        <w:t xml:space="preserve">i </w:t>
      </w:r>
      <w:r w:rsidRPr="00B835B5">
        <w:t>to najčešće kod:</w:t>
      </w:r>
    </w:p>
    <w:p w:rsidR="00C52328" w:rsidRPr="00C52328" w:rsidRDefault="00C52328" w:rsidP="006970C5">
      <w:pPr>
        <w:widowControl/>
        <w:numPr>
          <w:ilvl w:val="0"/>
          <w:numId w:val="23"/>
        </w:numPr>
        <w:tabs>
          <w:tab w:val="left" w:pos="0"/>
        </w:tabs>
        <w:autoSpaceDE/>
        <w:autoSpaceDN/>
        <w:adjustRightInd/>
        <w:spacing w:after="200"/>
        <w:ind w:left="567" w:hanging="567"/>
        <w:contextualSpacing/>
        <w:rPr>
          <w:rFonts w:eastAsia="Calibri" w:cs="Arial"/>
          <w:lang w:eastAsia="en-US"/>
        </w:rPr>
      </w:pPr>
      <w:r w:rsidRPr="00C52328">
        <w:rPr>
          <w:rFonts w:eastAsia="Calibri" w:cs="Arial"/>
          <w:lang w:eastAsia="en-US"/>
        </w:rPr>
        <w:t>sustava unutarnjih kontrola (ne provode se savjetovanja s javnošću pri donošenju općih akata odnosno drugih strateških ili planskih dokumenata kada se njima utječe na interese građana i pravnih osoba te nije uspostavljeno upravljanje rizicima kao cjelovitim procesima utvrđivanja, procjenjivanja i praćenja rizika)</w:t>
      </w:r>
    </w:p>
    <w:p w:rsidR="00B835B5" w:rsidRPr="00B835B5" w:rsidRDefault="00B835B5" w:rsidP="006970C5">
      <w:pPr>
        <w:widowControl/>
        <w:numPr>
          <w:ilvl w:val="0"/>
          <w:numId w:val="23"/>
        </w:numPr>
        <w:tabs>
          <w:tab w:val="left" w:pos="0"/>
        </w:tabs>
        <w:autoSpaceDE/>
        <w:autoSpaceDN/>
        <w:adjustRightInd/>
        <w:spacing w:after="200"/>
        <w:ind w:left="567" w:hanging="567"/>
        <w:contextualSpacing/>
        <w:rPr>
          <w:rFonts w:eastAsiaTheme="minorHAnsi" w:cs="Arial"/>
          <w:lang w:eastAsia="en-US"/>
        </w:rPr>
      </w:pPr>
      <w:r w:rsidRPr="00B835B5">
        <w:rPr>
          <w:rFonts w:eastAsiaTheme="minorHAnsi" w:cs="Arial"/>
          <w:lang w:eastAsia="en-US"/>
        </w:rPr>
        <w:t>naplate potraživanja (ne poduzimaju se mjere za naplatu potr</w:t>
      </w:r>
      <w:r w:rsidR="006458C8">
        <w:rPr>
          <w:rFonts w:eastAsiaTheme="minorHAnsi" w:cs="Arial"/>
          <w:lang w:eastAsia="en-US"/>
        </w:rPr>
        <w:t xml:space="preserve">aživanja ili mjerama </w:t>
      </w:r>
      <w:r w:rsidR="006458C8" w:rsidRPr="00DB3C16">
        <w:rPr>
          <w:rFonts w:eastAsiaTheme="minorHAnsi" w:cs="Arial"/>
          <w:lang w:eastAsia="en-US"/>
        </w:rPr>
        <w:t>naplate nisu obuhvaćena sva</w:t>
      </w:r>
      <w:r w:rsidRPr="00B835B5">
        <w:rPr>
          <w:rFonts w:eastAsiaTheme="minorHAnsi" w:cs="Arial"/>
          <w:lang w:eastAsia="en-US"/>
        </w:rPr>
        <w:t xml:space="preserve"> potraživanja) </w:t>
      </w:r>
    </w:p>
    <w:p w:rsidR="00B835B5" w:rsidRPr="00B835B5" w:rsidRDefault="00B835B5" w:rsidP="006970C5">
      <w:pPr>
        <w:widowControl/>
        <w:numPr>
          <w:ilvl w:val="0"/>
          <w:numId w:val="23"/>
        </w:numPr>
        <w:tabs>
          <w:tab w:val="left" w:pos="567"/>
        </w:tabs>
        <w:autoSpaceDE/>
        <w:autoSpaceDN/>
        <w:adjustRightInd/>
        <w:spacing w:after="200"/>
        <w:ind w:left="567" w:hanging="567"/>
        <w:contextualSpacing/>
        <w:rPr>
          <w:rFonts w:eastAsiaTheme="minorHAnsi" w:cs="Arial"/>
          <w:lang w:eastAsia="en-US"/>
        </w:rPr>
      </w:pPr>
      <w:r w:rsidRPr="00B835B5">
        <w:rPr>
          <w:rFonts w:eastAsiaTheme="minorHAnsi" w:cs="Arial"/>
          <w:lang w:eastAsia="en-US"/>
        </w:rPr>
        <w:t>komunalnih djelatnosti (izravno ugovaranje, a trebalo je provesti</w:t>
      </w:r>
      <w:r w:rsidR="006458C8">
        <w:rPr>
          <w:rFonts w:eastAsiaTheme="minorHAnsi" w:cs="Arial"/>
          <w:lang w:eastAsia="en-US"/>
        </w:rPr>
        <w:t xml:space="preserve"> natječaj ili prikupiti ponude;</w:t>
      </w:r>
      <w:r w:rsidRPr="00B835B5">
        <w:rPr>
          <w:rFonts w:eastAsiaTheme="minorHAnsi" w:cs="Arial"/>
          <w:lang w:eastAsia="en-US"/>
        </w:rPr>
        <w:t xml:space="preserve"> programi održavanja i gradnje ne sadrže propisane podatke)</w:t>
      </w:r>
    </w:p>
    <w:p w:rsidR="00B835B5" w:rsidRDefault="00B835B5" w:rsidP="006970C5">
      <w:pPr>
        <w:widowControl/>
        <w:numPr>
          <w:ilvl w:val="0"/>
          <w:numId w:val="23"/>
        </w:numPr>
        <w:tabs>
          <w:tab w:val="left" w:pos="567"/>
        </w:tabs>
        <w:autoSpaceDE/>
        <w:autoSpaceDN/>
        <w:adjustRightInd/>
        <w:spacing w:after="200"/>
        <w:ind w:left="567" w:hanging="567"/>
        <w:contextualSpacing/>
        <w:rPr>
          <w:rFonts w:eastAsiaTheme="minorHAnsi" w:cs="Arial"/>
          <w:color w:val="000000" w:themeColor="text1"/>
          <w:lang w:eastAsia="en-US"/>
        </w:rPr>
      </w:pPr>
      <w:r w:rsidRPr="00B835B5">
        <w:rPr>
          <w:rFonts w:eastAsiaTheme="minorHAnsi" w:cs="Arial"/>
          <w:color w:val="000000" w:themeColor="text1"/>
          <w:lang w:eastAsia="en-US"/>
        </w:rPr>
        <w:t>tekućih donacija udrugama (za dio donacija nisu provedeni natječaji</w:t>
      </w:r>
      <w:r w:rsidR="006458C8">
        <w:rPr>
          <w:rFonts w:eastAsiaTheme="minorHAnsi" w:cs="Arial"/>
          <w:color w:val="000000" w:themeColor="text1"/>
          <w:lang w:eastAsia="en-US"/>
        </w:rPr>
        <w:t>;</w:t>
      </w:r>
      <w:r w:rsidRPr="00B835B5">
        <w:rPr>
          <w:rFonts w:eastAsiaTheme="minorHAnsi" w:cs="Arial"/>
          <w:color w:val="000000" w:themeColor="text1"/>
          <w:lang w:eastAsia="en-US"/>
        </w:rPr>
        <w:t xml:space="preserve"> </w:t>
      </w:r>
      <w:r w:rsidR="00C52328" w:rsidRPr="00C52328">
        <w:rPr>
          <w:rFonts w:cs="Arial"/>
          <w:color w:val="000000"/>
        </w:rPr>
        <w:t>za provjeru ispunjavanja propisanih uvjeta i ocjenjivanja prijava nisu utvrđeni mjerljivi kriteriji</w:t>
      </w:r>
      <w:r w:rsidR="00C52328">
        <w:rPr>
          <w:rFonts w:cs="Arial"/>
          <w:color w:val="000000"/>
        </w:rPr>
        <w:t xml:space="preserve">; </w:t>
      </w:r>
      <w:r w:rsidRPr="00B835B5">
        <w:rPr>
          <w:rFonts w:eastAsiaTheme="minorHAnsi" w:cs="Arial"/>
          <w:color w:val="000000" w:themeColor="text1"/>
          <w:lang w:eastAsia="en-US"/>
        </w:rPr>
        <w:t>nije provedena kontrola namjenskog korištenja donacija niti su obavljene kontrole na licu mjesta kod krajnjih korisnika donacija)</w:t>
      </w:r>
    </w:p>
    <w:p w:rsidR="00B835B5" w:rsidRPr="00B835B5" w:rsidRDefault="00B835B5" w:rsidP="006970C5">
      <w:pPr>
        <w:widowControl/>
        <w:numPr>
          <w:ilvl w:val="0"/>
          <w:numId w:val="23"/>
        </w:numPr>
        <w:tabs>
          <w:tab w:val="left" w:pos="567"/>
        </w:tabs>
        <w:autoSpaceDE/>
        <w:autoSpaceDN/>
        <w:adjustRightInd/>
        <w:spacing w:after="200"/>
        <w:ind w:left="567" w:hanging="567"/>
        <w:contextualSpacing/>
        <w:rPr>
          <w:rFonts w:eastAsiaTheme="minorHAnsi" w:cs="Arial"/>
          <w:color w:val="000000" w:themeColor="text1"/>
          <w:lang w:eastAsia="en-US"/>
        </w:rPr>
      </w:pPr>
      <w:r w:rsidRPr="00B835B5">
        <w:rPr>
          <w:rFonts w:eastAsiaTheme="minorHAnsi" w:cs="Arial"/>
          <w:color w:val="000000" w:themeColor="text1"/>
          <w:lang w:eastAsia="en-US"/>
        </w:rPr>
        <w:t>upravljanja i raspolaganja imovinom (nisu donesene strategije upravljanja i raspolaganja imovinom te godišnji planovi upra</w:t>
      </w:r>
      <w:r w:rsidR="00F04F35">
        <w:rPr>
          <w:rFonts w:eastAsiaTheme="minorHAnsi" w:cs="Arial"/>
          <w:color w:val="000000" w:themeColor="text1"/>
          <w:lang w:eastAsia="en-US"/>
        </w:rPr>
        <w:t>vljanja i raspolaganja imovinom</w:t>
      </w:r>
      <w:r w:rsidR="00C52328">
        <w:rPr>
          <w:rFonts w:eastAsiaTheme="minorHAnsi" w:cs="Arial"/>
          <w:color w:val="000000" w:themeColor="text1"/>
          <w:lang w:eastAsia="en-US"/>
        </w:rPr>
        <w:t xml:space="preserve">, </w:t>
      </w:r>
      <w:r w:rsidR="00C52328" w:rsidRPr="00C52328">
        <w:rPr>
          <w:rFonts w:eastAsia="Calibri" w:cs="Arial"/>
          <w:color w:val="000000"/>
          <w:lang w:eastAsia="en-US"/>
        </w:rPr>
        <w:t xml:space="preserve">kao </w:t>
      </w:r>
      <w:r w:rsidR="00C52328">
        <w:rPr>
          <w:rFonts w:eastAsia="Calibri" w:cs="Arial"/>
          <w:color w:val="000000"/>
          <w:lang w:eastAsia="en-US"/>
        </w:rPr>
        <w:t>n</w:t>
      </w:r>
      <w:r w:rsidR="00C52328" w:rsidRPr="00C52328">
        <w:rPr>
          <w:rFonts w:eastAsia="Calibri" w:cs="Arial"/>
          <w:color w:val="000000"/>
          <w:lang w:eastAsia="en-US"/>
        </w:rPr>
        <w:t>i izvješća o izvršenju navedenih godišnjih planova</w:t>
      </w:r>
      <w:r w:rsidR="00F04F35">
        <w:rPr>
          <w:rFonts w:eastAsiaTheme="minorHAnsi" w:cs="Arial"/>
          <w:color w:val="000000" w:themeColor="text1"/>
          <w:lang w:eastAsia="en-US"/>
        </w:rPr>
        <w:t>;</w:t>
      </w:r>
      <w:r w:rsidRPr="00B835B5">
        <w:rPr>
          <w:rFonts w:eastAsiaTheme="minorHAnsi" w:cs="Arial"/>
          <w:color w:val="000000" w:themeColor="text1"/>
          <w:lang w:eastAsia="en-US"/>
        </w:rPr>
        <w:t xml:space="preserve"> pri prodaji i kupnji imovine procjembeni elaborati nisu dostavljeni procjeniteljskom povjerenstvu na ocjenu usklađenosti sa Zakonom o procjeni vrijednosti nekretnina u cilju korištenja i raspolaganja nekretninama u vlasništvu lokalne jedinice na transparentan način, odnosno pažnjom dobrog gospodara)</w:t>
      </w:r>
    </w:p>
    <w:p w:rsidR="00C52328" w:rsidRPr="00C52328" w:rsidRDefault="00B835B5" w:rsidP="006970C5">
      <w:pPr>
        <w:widowControl/>
        <w:numPr>
          <w:ilvl w:val="0"/>
          <w:numId w:val="23"/>
        </w:numPr>
        <w:tabs>
          <w:tab w:val="left" w:pos="567"/>
        </w:tabs>
        <w:autoSpaceDE/>
        <w:autoSpaceDN/>
        <w:adjustRightInd/>
        <w:spacing w:after="200"/>
        <w:ind w:left="567" w:hanging="567"/>
        <w:contextualSpacing/>
        <w:rPr>
          <w:rFonts w:eastAsia="Calibri" w:cs="Arial"/>
          <w:lang w:eastAsia="en-US"/>
        </w:rPr>
      </w:pPr>
      <w:r w:rsidRPr="00B835B5">
        <w:rPr>
          <w:rFonts w:eastAsiaTheme="minorHAnsi" w:cs="Arial"/>
          <w:lang w:eastAsia="en-US"/>
        </w:rPr>
        <w:t>nabave roba, radova i usluga (plan</w:t>
      </w:r>
      <w:r w:rsidR="00C52328">
        <w:rPr>
          <w:rFonts w:eastAsiaTheme="minorHAnsi" w:cs="Arial"/>
          <w:lang w:eastAsia="en-US"/>
        </w:rPr>
        <w:t>ovi</w:t>
      </w:r>
      <w:r w:rsidRPr="00B835B5">
        <w:rPr>
          <w:rFonts w:eastAsiaTheme="minorHAnsi" w:cs="Arial"/>
          <w:lang w:eastAsia="en-US"/>
        </w:rPr>
        <w:t xml:space="preserve"> nabave ne </w:t>
      </w:r>
      <w:r w:rsidR="00C52328">
        <w:rPr>
          <w:rFonts w:eastAsiaTheme="minorHAnsi" w:cs="Arial"/>
          <w:lang w:eastAsia="en-US"/>
        </w:rPr>
        <w:t xml:space="preserve">sadrže </w:t>
      </w:r>
      <w:r w:rsidR="00F04F35">
        <w:rPr>
          <w:rFonts w:eastAsiaTheme="minorHAnsi" w:cs="Arial"/>
          <w:lang w:eastAsia="en-US"/>
        </w:rPr>
        <w:t>pojedine predmete nabave;</w:t>
      </w:r>
      <w:r w:rsidRPr="00B835B5">
        <w:rPr>
          <w:rFonts w:eastAsiaTheme="minorHAnsi" w:cs="Arial"/>
          <w:lang w:eastAsia="en-US"/>
        </w:rPr>
        <w:t xml:space="preserve"> regist</w:t>
      </w:r>
      <w:r w:rsidR="00C52328">
        <w:rPr>
          <w:rFonts w:eastAsiaTheme="minorHAnsi" w:cs="Arial"/>
          <w:lang w:eastAsia="en-US"/>
        </w:rPr>
        <w:t>ri</w:t>
      </w:r>
      <w:r w:rsidRPr="00B835B5">
        <w:rPr>
          <w:rFonts w:eastAsiaTheme="minorHAnsi" w:cs="Arial"/>
          <w:lang w:eastAsia="en-US"/>
        </w:rPr>
        <w:t xml:space="preserve"> ugovora o javnoj nabavi i okvirnih sporazuma n</w:t>
      </w:r>
      <w:r w:rsidR="00C52328">
        <w:rPr>
          <w:rFonts w:eastAsiaTheme="minorHAnsi" w:cs="Arial"/>
          <w:lang w:eastAsia="en-US"/>
        </w:rPr>
        <w:t>isu</w:t>
      </w:r>
      <w:r w:rsidRPr="00B835B5">
        <w:rPr>
          <w:rFonts w:eastAsiaTheme="minorHAnsi" w:cs="Arial"/>
          <w:lang w:eastAsia="en-US"/>
        </w:rPr>
        <w:t xml:space="preserve"> ažuriran</w:t>
      </w:r>
      <w:r w:rsidR="00C52328">
        <w:rPr>
          <w:rFonts w:eastAsiaTheme="minorHAnsi" w:cs="Arial"/>
          <w:lang w:eastAsia="en-US"/>
        </w:rPr>
        <w:t xml:space="preserve">i; </w:t>
      </w:r>
      <w:r w:rsidR="00C52328" w:rsidRPr="00C52328">
        <w:rPr>
          <w:rFonts w:eastAsia="Calibri" w:cs="Arial"/>
          <w:lang w:eastAsia="en-US"/>
        </w:rPr>
        <w:t xml:space="preserve">statistička izvješća nisu točna). </w:t>
      </w:r>
    </w:p>
    <w:p w:rsidR="00B835B5" w:rsidRDefault="00B835B5" w:rsidP="006970C5">
      <w:pPr>
        <w:tabs>
          <w:tab w:val="left" w:pos="284"/>
          <w:tab w:val="left" w:pos="567"/>
          <w:tab w:val="left" w:pos="851"/>
        </w:tabs>
        <w:ind w:left="567"/>
      </w:pPr>
    </w:p>
    <w:p w:rsidR="00B835B5" w:rsidRPr="00B835B5" w:rsidRDefault="00B835B5" w:rsidP="006970C5">
      <w:pPr>
        <w:tabs>
          <w:tab w:val="left" w:pos="284"/>
          <w:tab w:val="left" w:pos="567"/>
          <w:tab w:val="left" w:pos="851"/>
        </w:tabs>
      </w:pPr>
      <w:r w:rsidRPr="00B835B5">
        <w:t>I kod pojedinih</w:t>
      </w:r>
      <w:r w:rsidR="006458C8" w:rsidRPr="00DB3C16">
        <w:t xml:space="preserve"> lokalnih</w:t>
      </w:r>
      <w:r w:rsidRPr="00B835B5">
        <w:t xml:space="preserve"> jedinica kojima su izražena bezuvjetna mišljenja utvrđene su </w:t>
      </w:r>
      <w:r w:rsidR="006458C8" w:rsidRPr="00DB3C16">
        <w:t xml:space="preserve">određene </w:t>
      </w:r>
      <w:r w:rsidRPr="00B835B5">
        <w:t xml:space="preserve">nepravilnosti i propusti, ali </w:t>
      </w:r>
      <w:r w:rsidR="006458C8" w:rsidRPr="00DB3C16">
        <w:t>nisu imali</w:t>
      </w:r>
      <w:r w:rsidRPr="00B835B5">
        <w:t xml:space="preserve"> značajniji utjecaj na realnost i vjerodostojnost financijskih izvještaja i usklađenost poslovanja te su stoga i izražena bezuvjetna mišljenja.</w:t>
      </w:r>
    </w:p>
    <w:p w:rsidR="006139F4" w:rsidRPr="00B835B5" w:rsidRDefault="006139F4" w:rsidP="006970C5">
      <w:pPr>
        <w:tabs>
          <w:tab w:val="left" w:pos="284"/>
          <w:tab w:val="left" w:pos="567"/>
          <w:tab w:val="left" w:pos="851"/>
        </w:tabs>
      </w:pPr>
    </w:p>
    <w:p w:rsidR="00B835B5" w:rsidRPr="00921B7F" w:rsidRDefault="00B835B5" w:rsidP="006970C5">
      <w:pPr>
        <w:tabs>
          <w:tab w:val="left" w:pos="0"/>
          <w:tab w:val="left" w:pos="567"/>
        </w:tabs>
        <w:rPr>
          <w:i/>
        </w:rPr>
      </w:pPr>
      <w:r w:rsidRPr="00921B7F">
        <w:rPr>
          <w:i/>
        </w:rPr>
        <w:t xml:space="preserve">Gradu Sisku izraženo </w:t>
      </w:r>
      <w:r w:rsidR="00D772EB" w:rsidRPr="00921B7F">
        <w:rPr>
          <w:i/>
        </w:rPr>
        <w:t xml:space="preserve">je </w:t>
      </w:r>
      <w:r w:rsidRPr="00921B7F">
        <w:rPr>
          <w:i/>
        </w:rPr>
        <w:t xml:space="preserve">nepovoljno mišljenje o financijskim izvještajima </w:t>
      </w:r>
      <w:r w:rsidRPr="00921B7F">
        <w:rPr>
          <w:rFonts w:eastAsia="Calibri" w:cs="Arial"/>
          <w:i/>
        </w:rPr>
        <w:t xml:space="preserve">zbog </w:t>
      </w:r>
      <w:r w:rsidR="00086EDD" w:rsidRPr="00921B7F">
        <w:rPr>
          <w:rFonts w:eastAsia="Calibri" w:cs="Arial"/>
          <w:i/>
        </w:rPr>
        <w:t xml:space="preserve">značajnih </w:t>
      </w:r>
      <w:r w:rsidRPr="00921B7F">
        <w:rPr>
          <w:rFonts w:eastAsia="Calibri" w:cs="Arial"/>
          <w:i/>
        </w:rPr>
        <w:t>nepravilnosti utvrđenih u području računovodstvenog poslovanja i financijskog izvještavanja</w:t>
      </w:r>
      <w:r w:rsidR="00EB261E" w:rsidRPr="00921B7F">
        <w:rPr>
          <w:rFonts w:eastAsia="Calibri" w:cs="Arial"/>
          <w:i/>
        </w:rPr>
        <w:t>. Nepravilnosti su</w:t>
      </w:r>
      <w:r w:rsidRPr="00921B7F">
        <w:rPr>
          <w:rFonts w:eastAsia="Calibri" w:cs="Arial"/>
          <w:i/>
        </w:rPr>
        <w:t xml:space="preserve"> utjecale na netočno evidentiranje podataka u poslovnim knjigama i iskazivanje u financijskim izvještajima te predaju financijskih izvještaja i njihovu objavu na mrežnim stranicama nakon propisanog roka. </w:t>
      </w:r>
    </w:p>
    <w:p w:rsidR="00B835B5" w:rsidRDefault="00B835B5" w:rsidP="006970C5">
      <w:pPr>
        <w:tabs>
          <w:tab w:val="left" w:pos="284"/>
          <w:tab w:val="left" w:pos="567"/>
          <w:tab w:val="left" w:pos="851"/>
        </w:tabs>
      </w:pPr>
    </w:p>
    <w:p w:rsidR="00557BAA" w:rsidRPr="00557BAA" w:rsidRDefault="00557BAA" w:rsidP="006970C5">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adjustRightInd/>
        <w:rPr>
          <w:rFonts w:eastAsia="Calibri"/>
          <w:i/>
          <w:szCs w:val="22"/>
          <w:lang w:eastAsia="en-US"/>
        </w:rPr>
      </w:pPr>
      <w:r w:rsidRPr="00557BAA">
        <w:rPr>
          <w:rFonts w:eastAsia="Calibri"/>
          <w:i/>
          <w:szCs w:val="22"/>
          <w:lang w:eastAsia="en-US"/>
        </w:rPr>
        <w:t xml:space="preserve">Nepovoljno mišljenje </w:t>
      </w:r>
      <w:r w:rsidRPr="006970C5">
        <w:rPr>
          <w:rFonts w:eastAsia="Calibri"/>
          <w:i/>
          <w:szCs w:val="22"/>
          <w:lang w:eastAsia="en-US"/>
        </w:rPr>
        <w:t xml:space="preserve">o financijskim izvještajima </w:t>
      </w:r>
      <w:r w:rsidRPr="00557BAA">
        <w:rPr>
          <w:rFonts w:eastAsia="Calibri"/>
          <w:i/>
          <w:szCs w:val="22"/>
          <w:lang w:eastAsia="en-US"/>
        </w:rPr>
        <w:t xml:space="preserve">izražava se kada su utvrđene nepravilnosti u financijskim izvještajima značajne i </w:t>
      </w:r>
      <w:proofErr w:type="spellStart"/>
      <w:r w:rsidRPr="00557BAA">
        <w:rPr>
          <w:rFonts w:eastAsia="Calibri"/>
          <w:i/>
          <w:szCs w:val="22"/>
          <w:lang w:eastAsia="en-US"/>
        </w:rPr>
        <w:t>prožimajuće</w:t>
      </w:r>
      <w:proofErr w:type="spellEnd"/>
      <w:r w:rsidR="00A81F61" w:rsidRPr="006970C5">
        <w:rPr>
          <w:rFonts w:eastAsia="Calibri"/>
          <w:i/>
          <w:szCs w:val="22"/>
          <w:lang w:eastAsia="en-US"/>
        </w:rPr>
        <w:t>, odnosno</w:t>
      </w:r>
      <w:r w:rsidRPr="00557BAA">
        <w:rPr>
          <w:rFonts w:eastAsia="Calibri"/>
          <w:i/>
          <w:szCs w:val="22"/>
          <w:lang w:eastAsia="en-US"/>
        </w:rPr>
        <w:t xml:space="preserve"> kada podaci u financijskim izvještajima nisu iskazani istinito i fer</w:t>
      </w:r>
      <w:r w:rsidRPr="006970C5">
        <w:rPr>
          <w:rFonts w:eastAsia="Calibri"/>
          <w:i/>
          <w:szCs w:val="22"/>
          <w:lang w:eastAsia="en-US"/>
        </w:rPr>
        <w:t xml:space="preserve">. </w:t>
      </w:r>
      <w:r w:rsidRPr="00557BAA">
        <w:rPr>
          <w:rFonts w:eastAsia="Calibri"/>
          <w:i/>
          <w:szCs w:val="22"/>
          <w:lang w:eastAsia="en-US"/>
        </w:rPr>
        <w:t>U mišljenju se navode područja u kojima su utvrđene nepravilnosti, a u slučajevima kada je moguće, kvantificiraju se njihovi financijski učinci.</w:t>
      </w:r>
    </w:p>
    <w:p w:rsidR="00557BAA" w:rsidRDefault="00557BAA" w:rsidP="006970C5">
      <w:pPr>
        <w:tabs>
          <w:tab w:val="left" w:pos="284"/>
          <w:tab w:val="left" w:pos="567"/>
          <w:tab w:val="left" w:pos="851"/>
        </w:tabs>
      </w:pPr>
    </w:p>
    <w:p w:rsidR="00921B7F" w:rsidRDefault="00921B7F" w:rsidP="006970C5">
      <w:pPr>
        <w:tabs>
          <w:tab w:val="left" w:pos="284"/>
          <w:tab w:val="left" w:pos="567"/>
          <w:tab w:val="left" w:pos="851"/>
        </w:tabs>
      </w:pPr>
    </w:p>
    <w:p w:rsidR="0078137A" w:rsidRPr="00B835B5" w:rsidRDefault="0078137A" w:rsidP="006970C5">
      <w:pPr>
        <w:tabs>
          <w:tab w:val="left" w:pos="284"/>
          <w:tab w:val="left" w:pos="567"/>
          <w:tab w:val="left" w:pos="851"/>
        </w:tabs>
      </w:pPr>
      <w:bookmarkStart w:id="1" w:name="_GoBack"/>
      <w:bookmarkEnd w:id="1"/>
    </w:p>
    <w:p w:rsidR="00B835B5" w:rsidRPr="00B835B5" w:rsidRDefault="00B835B5" w:rsidP="006970C5">
      <w:pPr>
        <w:tabs>
          <w:tab w:val="left" w:pos="284"/>
          <w:tab w:val="left" w:pos="567"/>
          <w:tab w:val="left" w:pos="851"/>
        </w:tabs>
        <w:rPr>
          <w:rFonts w:eastAsia="Calibri"/>
          <w:lang w:eastAsia="en-US"/>
        </w:rPr>
      </w:pPr>
      <w:r w:rsidRPr="00B835B5">
        <w:lastRenderedPageBreak/>
        <w:t xml:space="preserve">Za sve utvrđene nepravilnosti i propuste Ured je </w:t>
      </w:r>
      <w:r w:rsidR="00EA0AC5">
        <w:t xml:space="preserve">ovim </w:t>
      </w:r>
      <w:r w:rsidRPr="00B835B5">
        <w:t>jedinicama lokalne samouprave</w:t>
      </w:r>
      <w:r w:rsidRPr="00B835B5">
        <w:rPr>
          <w:rFonts w:eastAsia="Calibri"/>
          <w:lang w:eastAsia="en-US"/>
        </w:rPr>
        <w:t xml:space="preserve"> i proračunskim korisnicima dao </w:t>
      </w:r>
      <w:r w:rsidR="006139F4">
        <w:rPr>
          <w:rFonts w:eastAsia="Calibri"/>
          <w:lang w:eastAsia="en-US"/>
        </w:rPr>
        <w:t>sve</w:t>
      </w:r>
      <w:r w:rsidR="00D772EB">
        <w:rPr>
          <w:rFonts w:eastAsia="Calibri"/>
          <w:lang w:eastAsia="en-US"/>
        </w:rPr>
        <w:t xml:space="preserve">ukupno </w:t>
      </w:r>
      <w:r w:rsidRPr="00B835B5">
        <w:rPr>
          <w:rFonts w:eastAsia="Calibri"/>
          <w:b/>
          <w:lang w:eastAsia="en-US"/>
        </w:rPr>
        <w:t>3</w:t>
      </w:r>
      <w:r w:rsidR="00435EE6">
        <w:rPr>
          <w:rFonts w:eastAsia="Calibri"/>
          <w:b/>
          <w:lang w:eastAsia="en-US"/>
        </w:rPr>
        <w:t>61</w:t>
      </w:r>
      <w:r w:rsidRPr="00B835B5">
        <w:rPr>
          <w:rFonts w:eastAsia="Calibri"/>
          <w:b/>
          <w:lang w:eastAsia="en-US"/>
        </w:rPr>
        <w:t xml:space="preserve"> nalog</w:t>
      </w:r>
      <w:r w:rsidR="00435EE6">
        <w:rPr>
          <w:rFonts w:eastAsia="Calibri"/>
          <w:b/>
          <w:lang w:eastAsia="en-US"/>
        </w:rPr>
        <w:t xml:space="preserve"> </w:t>
      </w:r>
      <w:r w:rsidRPr="00B835B5">
        <w:rPr>
          <w:rFonts w:eastAsia="Calibri"/>
          <w:b/>
          <w:lang w:eastAsia="en-US"/>
        </w:rPr>
        <w:t>i preporuk</w:t>
      </w:r>
      <w:r w:rsidR="00435EE6">
        <w:rPr>
          <w:rFonts w:eastAsia="Calibri"/>
          <w:b/>
          <w:lang w:eastAsia="en-US"/>
        </w:rPr>
        <w:t>u</w:t>
      </w:r>
      <w:r w:rsidRPr="00B835B5">
        <w:rPr>
          <w:rFonts w:eastAsia="Calibri"/>
          <w:lang w:eastAsia="en-US"/>
        </w:rPr>
        <w:t>, čija bi provedba pridonijela realnijem iskazivanju podataka u financijskim izvještajima i unaprjeđenju</w:t>
      </w:r>
      <w:r w:rsidR="003713F9">
        <w:rPr>
          <w:rFonts w:eastAsia="Calibri"/>
          <w:lang w:eastAsia="en-US"/>
        </w:rPr>
        <w:t xml:space="preserve"> pravilnosti njihovog poslovanja</w:t>
      </w:r>
      <w:r w:rsidRPr="00B835B5">
        <w:rPr>
          <w:rFonts w:eastAsia="Calibri"/>
          <w:lang w:eastAsia="en-US"/>
        </w:rPr>
        <w:t>.</w:t>
      </w:r>
    </w:p>
    <w:p w:rsidR="002471C1" w:rsidRDefault="002471C1" w:rsidP="006970C5">
      <w:pPr>
        <w:rPr>
          <w:rFonts w:eastAsia="Calibri" w:cs="Arial"/>
          <w:b/>
        </w:rPr>
      </w:pPr>
    </w:p>
    <w:p w:rsidR="00FF6B75" w:rsidRPr="00257731" w:rsidRDefault="00FF6B75" w:rsidP="006970C5">
      <w:pPr>
        <w:rPr>
          <w:rFonts w:eastAsia="Calibri" w:cs="Arial"/>
          <w:b/>
        </w:rPr>
      </w:pPr>
    </w:p>
    <w:p w:rsidR="00FA7EE6" w:rsidRPr="00257731" w:rsidRDefault="00D96A58" w:rsidP="006970C5">
      <w:pPr>
        <w:shd w:val="clear" w:color="auto" w:fill="DBE5F1" w:themeFill="accent1" w:themeFillTint="33"/>
        <w:rPr>
          <w:rFonts w:eastAsia="Calibri" w:cs="Arial"/>
          <w:b/>
        </w:rPr>
      </w:pPr>
      <w:r w:rsidRPr="00257731">
        <w:rPr>
          <w:rFonts w:eastAsia="Calibri" w:cs="Arial"/>
          <w:b/>
        </w:rPr>
        <w:t xml:space="preserve">NEPROFITNE ORGANIZACIJE </w:t>
      </w:r>
    </w:p>
    <w:p w:rsidR="002471C1" w:rsidRDefault="002471C1" w:rsidP="006970C5">
      <w:pPr>
        <w:rPr>
          <w:rFonts w:eastAsia="Calibri" w:cs="Arial"/>
          <w:b/>
        </w:rPr>
      </w:pPr>
    </w:p>
    <w:p w:rsidR="00834E77" w:rsidRPr="00834E77" w:rsidRDefault="00834E77" w:rsidP="006970C5">
      <w:pPr>
        <w:widowControl/>
        <w:rPr>
          <w:rFonts w:eastAsia="Calibri" w:cs="Arial"/>
          <w:lang w:eastAsia="en-US"/>
        </w:rPr>
      </w:pPr>
      <w:r w:rsidRPr="00834E77">
        <w:rPr>
          <w:rFonts w:eastAsia="Calibri" w:cs="Arial"/>
          <w:lang w:eastAsia="en-US"/>
        </w:rPr>
        <w:t xml:space="preserve">Revizijom </w:t>
      </w:r>
      <w:r w:rsidRPr="00834E77">
        <w:rPr>
          <w:rFonts w:eastAsia="Calibri" w:cs="Arial"/>
          <w:b/>
          <w:lang w:eastAsia="en-US"/>
        </w:rPr>
        <w:t xml:space="preserve">Hrvatskog lovačkog saveza </w:t>
      </w:r>
      <w:r w:rsidRPr="00834E77">
        <w:rPr>
          <w:rFonts w:eastAsia="Calibri" w:cs="Arial"/>
          <w:lang w:eastAsia="en-US"/>
        </w:rPr>
        <w:t xml:space="preserve">obuhvaćeni su financijski izvještaji i poslovanje za 2023., a </w:t>
      </w:r>
      <w:r w:rsidRPr="00834E77">
        <w:rPr>
          <w:rFonts w:eastAsia="Calibri" w:cs="Arial"/>
          <w:b/>
          <w:lang w:eastAsia="en-US"/>
        </w:rPr>
        <w:t xml:space="preserve">Sportskog saveza Grada Zagreba </w:t>
      </w:r>
      <w:r w:rsidRPr="00834E77">
        <w:rPr>
          <w:rFonts w:eastAsia="Calibri" w:cs="Arial"/>
          <w:lang w:eastAsia="en-US"/>
        </w:rPr>
        <w:t>financijski izvještaji i poslovanje za 2024.</w:t>
      </w:r>
      <w:r w:rsidRPr="00834E77">
        <w:rPr>
          <w:rFonts w:eastAsia="Calibri" w:cs="Arial"/>
          <w:b/>
          <w:lang w:eastAsia="en-US"/>
        </w:rPr>
        <w:t xml:space="preserve"> </w:t>
      </w:r>
      <w:r w:rsidRPr="00834E77">
        <w:rPr>
          <w:rFonts w:eastAsia="Calibri" w:cs="Arial"/>
          <w:lang w:eastAsia="en-US"/>
        </w:rPr>
        <w:t>(</w:t>
      </w:r>
      <w:r w:rsidR="00406EF2">
        <w:rPr>
          <w:rFonts w:eastAsia="Calibri" w:cs="Arial"/>
          <w:i/>
          <w:lang w:eastAsia="en-US"/>
        </w:rPr>
        <w:t>revizije su obavlje</w:t>
      </w:r>
      <w:r w:rsidRPr="00834E77">
        <w:rPr>
          <w:rFonts w:eastAsia="Calibri" w:cs="Arial"/>
          <w:i/>
          <w:lang w:eastAsia="en-US"/>
        </w:rPr>
        <w:t>ne prvi put</w:t>
      </w:r>
      <w:r w:rsidRPr="00834E77">
        <w:rPr>
          <w:rFonts w:eastAsia="Calibri" w:cs="Arial"/>
          <w:lang w:eastAsia="en-US"/>
        </w:rPr>
        <w:t>).</w:t>
      </w:r>
    </w:p>
    <w:p w:rsidR="00640E58" w:rsidRDefault="00640E58" w:rsidP="006970C5">
      <w:pPr>
        <w:widowControl/>
        <w:tabs>
          <w:tab w:val="left" w:pos="0"/>
          <w:tab w:val="left" w:pos="567"/>
        </w:tabs>
        <w:rPr>
          <w:rFonts w:eastAsia="Calibri" w:cs="Arial"/>
          <w:lang w:eastAsia="en-US"/>
        </w:rPr>
      </w:pPr>
    </w:p>
    <w:p w:rsidR="00834E77" w:rsidRPr="00834E77" w:rsidRDefault="00834E77" w:rsidP="006970C5">
      <w:pPr>
        <w:widowControl/>
        <w:tabs>
          <w:tab w:val="left" w:pos="0"/>
          <w:tab w:val="left" w:pos="567"/>
        </w:tabs>
        <w:rPr>
          <w:rFonts w:eastAsia="Calibri" w:cs="Arial"/>
          <w:lang w:eastAsia="en-US"/>
        </w:rPr>
      </w:pPr>
      <w:r w:rsidRPr="00834E77">
        <w:rPr>
          <w:rFonts w:eastAsia="Calibri" w:cs="Arial"/>
          <w:lang w:eastAsia="en-US"/>
        </w:rPr>
        <w:t>Ciljevi revizije bili su:</w:t>
      </w:r>
    </w:p>
    <w:p w:rsidR="00834E77" w:rsidRPr="00834E77" w:rsidRDefault="00834E77" w:rsidP="006970C5">
      <w:pPr>
        <w:widowControl/>
        <w:tabs>
          <w:tab w:val="left" w:pos="0"/>
          <w:tab w:val="left" w:pos="567"/>
        </w:tabs>
        <w:rPr>
          <w:rFonts w:eastAsia="Calibri" w:cs="Arial"/>
          <w:lang w:eastAsia="en-US"/>
        </w:rPr>
      </w:pPr>
      <w:r>
        <w:t>–</w:t>
      </w:r>
      <w:r>
        <w:tab/>
      </w:r>
      <w:r w:rsidRPr="00834E77">
        <w:t xml:space="preserve">provjeriti istinitost i vjerodostojnost financijskih izvještaja </w:t>
      </w:r>
    </w:p>
    <w:p w:rsidR="00834E77" w:rsidRPr="00834E77" w:rsidRDefault="00834E77" w:rsidP="006970C5">
      <w:pPr>
        <w:widowControl/>
        <w:tabs>
          <w:tab w:val="left" w:pos="0"/>
          <w:tab w:val="left" w:pos="567"/>
          <w:tab w:val="left" w:pos="851"/>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szCs w:val="20"/>
        </w:rPr>
      </w:pPr>
      <w:r>
        <w:rPr>
          <w:szCs w:val="20"/>
        </w:rPr>
        <w:t>–</w:t>
      </w:r>
      <w:r>
        <w:rPr>
          <w:szCs w:val="20"/>
        </w:rPr>
        <w:tab/>
      </w:r>
      <w:r w:rsidRPr="00834E77">
        <w:rPr>
          <w:szCs w:val="20"/>
        </w:rPr>
        <w:t>provjeriti primjenu zakona i drugih propisa u vezi s organizacijom i financijsko-</w:t>
      </w:r>
      <w:r w:rsidR="00044F11">
        <w:rPr>
          <w:szCs w:val="20"/>
        </w:rPr>
        <w:t xml:space="preserve">                   -</w:t>
      </w:r>
      <w:r w:rsidRPr="00834E77">
        <w:rPr>
          <w:szCs w:val="20"/>
        </w:rPr>
        <w:t>računovodstvenim poslovanjem</w:t>
      </w:r>
    </w:p>
    <w:p w:rsidR="00834E77" w:rsidRPr="00834E77" w:rsidRDefault="00834E77" w:rsidP="006970C5">
      <w:pPr>
        <w:widowControl/>
        <w:tabs>
          <w:tab w:val="left" w:pos="0"/>
          <w:tab w:val="left" w:pos="567"/>
          <w:tab w:val="left" w:pos="851"/>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szCs w:val="20"/>
        </w:rPr>
      </w:pPr>
      <w:r>
        <w:rPr>
          <w:szCs w:val="20"/>
        </w:rPr>
        <w:t>–</w:t>
      </w:r>
      <w:r>
        <w:rPr>
          <w:szCs w:val="20"/>
        </w:rPr>
        <w:tab/>
      </w:r>
      <w:r w:rsidRPr="00834E77">
        <w:rPr>
          <w:szCs w:val="20"/>
        </w:rPr>
        <w:t xml:space="preserve">provjeriti pravilnost stjecanja prihoda </w:t>
      </w:r>
    </w:p>
    <w:p w:rsidR="00834E77" w:rsidRPr="00834E77" w:rsidRDefault="00834E77" w:rsidP="006970C5">
      <w:pPr>
        <w:widowControl/>
        <w:tabs>
          <w:tab w:val="left" w:pos="0"/>
          <w:tab w:val="left" w:pos="567"/>
          <w:tab w:val="left" w:pos="851"/>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szCs w:val="20"/>
        </w:rPr>
      </w:pPr>
      <w:r>
        <w:rPr>
          <w:szCs w:val="20"/>
        </w:rPr>
        <w:t>–</w:t>
      </w:r>
      <w:r>
        <w:rPr>
          <w:szCs w:val="20"/>
        </w:rPr>
        <w:tab/>
      </w:r>
      <w:r w:rsidRPr="00834E77">
        <w:rPr>
          <w:szCs w:val="20"/>
        </w:rPr>
        <w:t>provjeriti pravilnost ostvarenja rashoda, odnosno provjeriti jesu li financijska sredstva korištena isključivo za ostvarenje ciljeva utvrđenih programom/planom rada i financijskim planom</w:t>
      </w:r>
    </w:p>
    <w:p w:rsidR="00834E77" w:rsidRPr="00834E77" w:rsidRDefault="00834E77" w:rsidP="006970C5">
      <w:pPr>
        <w:numPr>
          <w:ilvl w:val="0"/>
          <w:numId w:val="24"/>
        </w:numPr>
        <w:tabs>
          <w:tab w:val="left" w:pos="0"/>
          <w:tab w:val="left" w:pos="567"/>
          <w:tab w:val="left" w:pos="851"/>
        </w:tabs>
        <w:ind w:left="567" w:hanging="567"/>
      </w:pPr>
      <w:r w:rsidRPr="00834E77">
        <w:t>provjeriti pravilnost izvršenja drugih transakcija i aktivnosti u vezi s poslovanjem, kao i usklađenost provedenih aktivnosti s programom/planom rada (</w:t>
      </w:r>
      <w:r w:rsidRPr="00834E77">
        <w:rPr>
          <w:i/>
        </w:rPr>
        <w:t>kod Sportske zajednice Grada Zagreba, osim navedenih, cilj je bio i provjeriti i ocijeniti pravilnost (namjensko korištenje) i svrsishodnost korištenja sredstava dobivenih iz državnog i lokalnog proračuna</w:t>
      </w:r>
      <w:r w:rsidRPr="00834E77">
        <w:t>).</w:t>
      </w:r>
    </w:p>
    <w:p w:rsidR="00834E77" w:rsidRPr="00834E77" w:rsidRDefault="00834E77" w:rsidP="006970C5">
      <w:pPr>
        <w:widowControl/>
        <w:ind w:firstLine="567"/>
        <w:rPr>
          <w:rFonts w:eastAsia="Calibri" w:cs="Arial"/>
          <w:lang w:eastAsia="en-US"/>
        </w:rPr>
      </w:pPr>
    </w:p>
    <w:p w:rsidR="00834E77" w:rsidRDefault="00834E77" w:rsidP="006970C5">
      <w:pPr>
        <w:widowControl/>
        <w:rPr>
          <w:rFonts w:eastAsia="Calibri" w:cs="Arial"/>
          <w:b/>
          <w:lang w:eastAsia="en-US"/>
        </w:rPr>
      </w:pPr>
      <w:r w:rsidRPr="00834E77">
        <w:rPr>
          <w:rFonts w:eastAsia="Calibri" w:cs="Arial"/>
          <w:b/>
          <w:lang w:eastAsia="en-US"/>
        </w:rPr>
        <w:t>O financijskim izvještajima Hrvatskog lovačkog saveza izraženo je suzdržano  mišljenje, a o usklađenosti poslovanja uvjetno mišljenje. O financijskim izvještajima i usklađenosti poslovanja Sportskog saveza Grada Zagreba izražena su bezuvjetna mišljenja.</w:t>
      </w:r>
    </w:p>
    <w:p w:rsidR="00640E58" w:rsidRPr="00834E77" w:rsidRDefault="00640E58" w:rsidP="006970C5">
      <w:pPr>
        <w:widowControl/>
        <w:rPr>
          <w:rFonts w:eastAsia="Calibri" w:cs="Arial"/>
          <w:b/>
          <w:lang w:eastAsia="en-US"/>
        </w:rPr>
      </w:pPr>
    </w:p>
    <w:p w:rsidR="00834E77" w:rsidRDefault="00834E77" w:rsidP="006970C5">
      <w:pPr>
        <w:widowControl/>
      </w:pPr>
      <w:r w:rsidRPr="00834E77">
        <w:rPr>
          <w:rFonts w:eastAsia="Calibri" w:cs="Arial"/>
          <w:lang w:eastAsia="en-US"/>
        </w:rPr>
        <w:t xml:space="preserve">Nepravilnosti i propusti </w:t>
      </w:r>
      <w:r w:rsidR="00640E58">
        <w:rPr>
          <w:rFonts w:eastAsia="Calibri" w:cs="Arial"/>
          <w:lang w:eastAsia="en-US"/>
        </w:rPr>
        <w:t xml:space="preserve">kod ovih subjekata </w:t>
      </w:r>
      <w:r w:rsidRPr="00834E77">
        <w:rPr>
          <w:rFonts w:eastAsia="Calibri" w:cs="Arial"/>
          <w:lang w:eastAsia="en-US"/>
        </w:rPr>
        <w:t xml:space="preserve">utvrđeni su u okviru sljedećih područja: </w:t>
      </w:r>
      <w:r w:rsidRPr="00834E77">
        <w:t>djelokrug i unutarnje ustrojstvo, sustav unutarnjih kontrola, planiranje, računovodstveno poslovanje, financijski izvještaji, prihodi, rashodi, financijska imovina te javna nabava (</w:t>
      </w:r>
      <w:r w:rsidRPr="00834E77">
        <w:rPr>
          <w:i/>
        </w:rPr>
        <w:t xml:space="preserve">Sportski savez Grada Zagreba bio </w:t>
      </w:r>
      <w:r w:rsidR="00F25D3C" w:rsidRPr="00834E77">
        <w:rPr>
          <w:i/>
        </w:rPr>
        <w:t xml:space="preserve">je </w:t>
      </w:r>
      <w:r w:rsidRPr="00834E77">
        <w:rPr>
          <w:i/>
        </w:rPr>
        <w:t>obveznik javne nabave u 2024.;</w:t>
      </w:r>
      <w:r w:rsidRPr="00834E77">
        <w:t xml:space="preserve"> </w:t>
      </w:r>
      <w:r w:rsidRPr="00834E77">
        <w:rPr>
          <w:i/>
        </w:rPr>
        <w:t>Hrvatski lovački savez u 2023., iako je u toj godini ostvario više od 50,0 % svojih prihoda iz sredstava javnog naručitelja, nije primjenjivao odredbe Zakona o javnoj nabavi</w:t>
      </w:r>
      <w:r w:rsidRPr="00834E77">
        <w:t>).</w:t>
      </w:r>
    </w:p>
    <w:p w:rsidR="001041E0" w:rsidRDefault="001041E0" w:rsidP="001041E0">
      <w:pPr>
        <w:widowControl/>
        <w:autoSpaceDE/>
        <w:autoSpaceDN/>
        <w:adjustRightInd/>
        <w:rPr>
          <w:rFonts w:eastAsia="Calibri"/>
          <w:szCs w:val="22"/>
          <w:u w:val="single"/>
          <w:lang w:eastAsia="en-US"/>
        </w:rPr>
      </w:pPr>
    </w:p>
    <w:p w:rsidR="00CF347A" w:rsidRPr="00724429" w:rsidRDefault="00CF347A" w:rsidP="00CF347A">
      <w:pPr>
        <w:rPr>
          <w:rFonts w:eastAsia="Calibri" w:cs="Arial"/>
          <w:i/>
          <w:lang w:eastAsia="en-US"/>
        </w:rPr>
      </w:pPr>
      <w:r w:rsidRPr="00724429">
        <w:rPr>
          <w:rFonts w:eastAsia="Calibri" w:cs="Arial"/>
          <w:i/>
          <w:lang w:eastAsia="en-US"/>
        </w:rPr>
        <w:t xml:space="preserve">Hrvatskom lovačkom savezu izraženo je suzdržano mišljenje o financijskim izvještajima </w:t>
      </w:r>
      <w:r w:rsidR="000B7986">
        <w:rPr>
          <w:rFonts w:eastAsia="Calibri" w:cs="Arial"/>
          <w:i/>
          <w:lang w:eastAsia="en-US"/>
        </w:rPr>
        <w:t xml:space="preserve">jer, </w:t>
      </w:r>
      <w:r w:rsidRPr="00724429">
        <w:rPr>
          <w:rFonts w:eastAsia="Calibri" w:cs="Arial"/>
          <w:i/>
          <w:lang w:eastAsia="en-US"/>
        </w:rPr>
        <w:t>s obzirom na to da se nije mogla potvrditi točnost i istinitost podataka o rezultatu poslovanja evidentiranom u poslovnim knjigama, nije se mogla potvrditi ni točnost i istinitost podataka o rezultatu poslovanja iskazanom u financijskim izvještajima. Zbog nemogućnosti pribavljanja dostatnih i primjerenih revizijskih dokaza, Državni ured za reviziju nije mogao izraziti mišljenje o tome jesu li financijski izvještaji za 2023. u svim značajnim odrednicama sastavljeni u skladu s primjenjivim okvirom financijskog izvještavanja, a poslovne knjige vođene u skladu s propisima o računovodstvu za neprofitne organizacije.</w:t>
      </w:r>
    </w:p>
    <w:p w:rsidR="00921B7F" w:rsidRDefault="00921B7F" w:rsidP="001041E0">
      <w:pPr>
        <w:widowControl/>
        <w:autoSpaceDE/>
        <w:autoSpaceDN/>
        <w:adjustRightInd/>
        <w:rPr>
          <w:rFonts w:eastAsia="Calibri"/>
          <w:b/>
          <w:szCs w:val="22"/>
          <w:lang w:eastAsia="en-US"/>
        </w:rPr>
      </w:pPr>
    </w:p>
    <w:p w:rsidR="00CF347A" w:rsidRDefault="00CF347A" w:rsidP="001041E0">
      <w:pPr>
        <w:widowControl/>
        <w:autoSpaceDE/>
        <w:autoSpaceDN/>
        <w:adjustRightInd/>
        <w:rPr>
          <w:rFonts w:eastAsia="Calibri"/>
          <w:b/>
          <w:szCs w:val="22"/>
          <w:lang w:eastAsia="en-US"/>
        </w:rPr>
      </w:pPr>
    </w:p>
    <w:p w:rsidR="00CF347A" w:rsidRDefault="00CF347A" w:rsidP="001041E0">
      <w:pPr>
        <w:widowControl/>
        <w:autoSpaceDE/>
        <w:autoSpaceDN/>
        <w:adjustRightInd/>
        <w:rPr>
          <w:rFonts w:eastAsia="Calibri"/>
          <w:b/>
          <w:szCs w:val="22"/>
          <w:lang w:eastAsia="en-US"/>
        </w:rPr>
      </w:pPr>
    </w:p>
    <w:p w:rsidR="00CF347A" w:rsidRDefault="00CF347A" w:rsidP="001041E0">
      <w:pPr>
        <w:widowControl/>
        <w:autoSpaceDE/>
        <w:autoSpaceDN/>
        <w:adjustRightInd/>
        <w:rPr>
          <w:rFonts w:eastAsia="Calibri"/>
          <w:b/>
          <w:szCs w:val="22"/>
          <w:lang w:eastAsia="en-US"/>
        </w:rPr>
      </w:pPr>
    </w:p>
    <w:p w:rsidR="00CF347A" w:rsidRDefault="00CF347A" w:rsidP="001041E0">
      <w:pPr>
        <w:widowControl/>
        <w:autoSpaceDE/>
        <w:autoSpaceDN/>
        <w:adjustRightInd/>
        <w:rPr>
          <w:rFonts w:eastAsia="Calibri"/>
          <w:b/>
          <w:szCs w:val="22"/>
          <w:lang w:eastAsia="en-US"/>
        </w:rPr>
      </w:pPr>
    </w:p>
    <w:p w:rsidR="00CF347A" w:rsidRDefault="00CF347A" w:rsidP="001041E0">
      <w:pPr>
        <w:widowControl/>
        <w:autoSpaceDE/>
        <w:autoSpaceDN/>
        <w:adjustRightInd/>
        <w:rPr>
          <w:rFonts w:eastAsia="Calibri"/>
          <w:b/>
          <w:szCs w:val="22"/>
          <w:lang w:eastAsia="en-US"/>
        </w:rPr>
      </w:pPr>
    </w:p>
    <w:p w:rsidR="001041E0" w:rsidRPr="009C5C16" w:rsidRDefault="001041E0" w:rsidP="001041E0">
      <w:pPr>
        <w:pBdr>
          <w:top w:val="single" w:sz="4" w:space="1" w:color="auto"/>
          <w:left w:val="single" w:sz="4" w:space="4" w:color="auto"/>
          <w:bottom w:val="single" w:sz="4" w:space="1" w:color="auto"/>
          <w:right w:val="single" w:sz="4" w:space="4" w:color="auto"/>
          <w:between w:val="single" w:sz="4" w:space="1" w:color="auto"/>
          <w:bar w:val="single" w:sz="4" w:color="auto"/>
        </w:pBdr>
      </w:pPr>
      <w:r w:rsidRPr="005D2D3B">
        <w:lastRenderedPageBreak/>
        <w:t>Suzdržano mišljenje se izražava kada se zbog značajnih nejasnoća u financijskim izvještajima ili ograničenju opsega revizije ne može izraziti drukčije mišljenje o financijskim izvještajima i poslovanju.</w:t>
      </w:r>
      <w:r>
        <w:t xml:space="preserve"> </w:t>
      </w:r>
      <w:r w:rsidRPr="005D2D3B">
        <w:t>Pri izražavanju ovog mišljenja navode se sve nejasnoće i ograničenja koja su bila značajna i zbog čega nije bilo moguće prikupiti dovoljno odgovarajućih dokaza za izražavanje drukčijeg mišljenja o financijskim izvješt</w:t>
      </w:r>
      <w:r>
        <w:t>ajima i usklađenosti poslovanja.</w:t>
      </w:r>
    </w:p>
    <w:p w:rsidR="001041E0" w:rsidRPr="00834E77" w:rsidRDefault="001041E0" w:rsidP="006970C5">
      <w:pPr>
        <w:widowControl/>
        <w:rPr>
          <w:rFonts w:ascii="Times New Roman" w:eastAsia="Calibri" w:hAnsi="Times New Roman"/>
          <w:color w:val="44546A"/>
          <w:sz w:val="22"/>
          <w:szCs w:val="22"/>
          <w:lang w:eastAsia="en-US"/>
        </w:rPr>
      </w:pPr>
    </w:p>
    <w:p w:rsidR="001041E0" w:rsidRDefault="001041E0" w:rsidP="001041E0">
      <w:pPr>
        <w:widowControl/>
        <w:rPr>
          <w:rFonts w:eastAsia="Calibri" w:cs="Arial"/>
          <w:lang w:eastAsia="en-US"/>
        </w:rPr>
      </w:pPr>
      <w:r w:rsidRPr="00834E77">
        <w:rPr>
          <w:rFonts w:eastAsia="Calibri" w:cs="Arial"/>
          <w:lang w:eastAsia="en-US"/>
        </w:rPr>
        <w:t>Za utvrđene nepravilnos</w:t>
      </w:r>
      <w:r>
        <w:rPr>
          <w:rFonts w:eastAsia="Calibri" w:cs="Arial"/>
          <w:lang w:eastAsia="en-US"/>
        </w:rPr>
        <w:t>ti i propuste ovim subjektima dana su</w:t>
      </w:r>
      <w:r w:rsidRPr="00834E77">
        <w:rPr>
          <w:rFonts w:eastAsia="Calibri" w:cs="Arial"/>
          <w:lang w:eastAsia="en-US"/>
        </w:rPr>
        <w:t xml:space="preserve"> sveukupno </w:t>
      </w:r>
      <w:r>
        <w:rPr>
          <w:rFonts w:eastAsia="Calibri" w:cs="Arial"/>
          <w:b/>
          <w:lang w:eastAsia="en-US"/>
        </w:rPr>
        <w:t>44 naloga i preporuke</w:t>
      </w:r>
      <w:r w:rsidRPr="00834E77">
        <w:rPr>
          <w:rFonts w:eastAsia="Calibri" w:cs="Arial"/>
          <w:lang w:eastAsia="en-US"/>
        </w:rPr>
        <w:t>.</w:t>
      </w:r>
    </w:p>
    <w:p w:rsidR="002471C1" w:rsidRDefault="002471C1" w:rsidP="006970C5">
      <w:pPr>
        <w:rPr>
          <w:rFonts w:eastAsia="Calibri" w:cs="Arial"/>
          <w:b/>
        </w:rPr>
      </w:pPr>
    </w:p>
    <w:p w:rsidR="001041E0" w:rsidRPr="00257731" w:rsidRDefault="001041E0" w:rsidP="006970C5">
      <w:pPr>
        <w:rPr>
          <w:rFonts w:eastAsia="Calibri" w:cs="Arial"/>
          <w:b/>
        </w:rPr>
      </w:pPr>
    </w:p>
    <w:p w:rsidR="00962A20" w:rsidRPr="00257731" w:rsidRDefault="00AB43E9" w:rsidP="006970C5">
      <w:pPr>
        <w:shd w:val="clear" w:color="auto" w:fill="DBE5F1" w:themeFill="accent1" w:themeFillTint="33"/>
        <w:rPr>
          <w:rFonts w:eastAsia="Calibri" w:cs="Arial"/>
          <w:b/>
          <w:lang w:eastAsia="en-US"/>
        </w:rPr>
      </w:pPr>
      <w:r>
        <w:rPr>
          <w:rFonts w:eastAsia="Calibri" w:cs="Arial"/>
          <w:b/>
        </w:rPr>
        <w:t>TRGOVAČKA DRUŠT</w:t>
      </w:r>
      <w:r w:rsidR="00D96A58" w:rsidRPr="00257731">
        <w:rPr>
          <w:rFonts w:eastAsia="Calibri" w:cs="Arial"/>
          <w:b/>
        </w:rPr>
        <w:t xml:space="preserve">VA U VLASNIŠTVU </w:t>
      </w:r>
      <w:r w:rsidR="00D96A58">
        <w:rPr>
          <w:rFonts w:cs="Arial"/>
          <w:b/>
        </w:rPr>
        <w:t>JLP(R)S</w:t>
      </w:r>
    </w:p>
    <w:p w:rsidR="00BD5187" w:rsidRPr="00257731" w:rsidRDefault="00BD5187" w:rsidP="006970C5">
      <w:pPr>
        <w:tabs>
          <w:tab w:val="left" w:pos="284"/>
          <w:tab w:val="left" w:pos="567"/>
          <w:tab w:val="left" w:pos="851"/>
        </w:tabs>
        <w:ind w:left="567" w:hanging="567"/>
        <w:rPr>
          <w:rFonts w:cs="Arial"/>
        </w:rPr>
      </w:pPr>
    </w:p>
    <w:p w:rsidR="00036227" w:rsidRPr="003F2C67" w:rsidRDefault="00890D08" w:rsidP="006970C5">
      <w:pPr>
        <w:pStyle w:val="Tijeloteksta"/>
        <w:kinsoku w:val="0"/>
        <w:overflowPunct w:val="0"/>
        <w:ind w:right="-1"/>
        <w:jc w:val="both"/>
        <w:rPr>
          <w:rFonts w:ascii="Arial" w:hAnsi="Arial" w:cs="Arial"/>
        </w:rPr>
      </w:pPr>
      <w:r>
        <w:rPr>
          <w:rFonts w:ascii="Arial" w:hAnsi="Arial" w:cs="Arial"/>
        </w:rPr>
        <w:t xml:space="preserve">Ured je obavio financijsku reviziju </w:t>
      </w:r>
      <w:r w:rsidRPr="006D5A95">
        <w:rPr>
          <w:rFonts w:ascii="Arial" w:hAnsi="Arial" w:cs="Arial"/>
        </w:rPr>
        <w:t>četiri trgovačka društva i dvije</w:t>
      </w:r>
      <w:r w:rsidR="003F2C67" w:rsidRPr="006D5A95">
        <w:rPr>
          <w:rFonts w:ascii="Arial" w:hAnsi="Arial" w:cs="Arial"/>
        </w:rPr>
        <w:t xml:space="preserve"> ljekarne u vlasništvu JLP(R)S: </w:t>
      </w:r>
      <w:r w:rsidR="003F2C67" w:rsidRPr="006D5A95">
        <w:rPr>
          <w:rFonts w:ascii="Arial" w:hAnsi="Arial" w:cs="Arial"/>
          <w:b/>
        </w:rPr>
        <w:t>Eko Jankovci d.o.o.</w:t>
      </w:r>
      <w:r w:rsidR="00CF012C">
        <w:rPr>
          <w:rFonts w:ascii="Arial" w:hAnsi="Arial" w:cs="Arial"/>
          <w:b/>
        </w:rPr>
        <w:t>, Stari Jankovci</w:t>
      </w:r>
      <w:r w:rsidR="003F2C67" w:rsidRPr="006D5A95">
        <w:rPr>
          <w:rFonts w:ascii="Arial" w:hAnsi="Arial" w:cs="Arial"/>
          <w:b/>
        </w:rPr>
        <w:t>; Ljekarna Čakovec; Neapolis d.o.o., Novigrad; Vukovarski vodotoranj – simbol hrvatskog zajedništva d.o.o.; Zdravstvena ustanova Ljekarna Dubrovnik te Zlatna luka Sukošan d.o.o.</w:t>
      </w:r>
    </w:p>
    <w:p w:rsidR="00036227" w:rsidRDefault="00036227" w:rsidP="006970C5">
      <w:pPr>
        <w:pStyle w:val="Tijeloteksta"/>
        <w:kinsoku w:val="0"/>
        <w:overflowPunct w:val="0"/>
        <w:ind w:right="-1" w:firstLine="567"/>
        <w:jc w:val="both"/>
        <w:rPr>
          <w:rFonts w:ascii="Arial" w:hAnsi="Arial" w:cs="Arial"/>
          <w:b/>
        </w:rPr>
      </w:pPr>
    </w:p>
    <w:p w:rsidR="00036227" w:rsidRPr="00640E58" w:rsidRDefault="00036227" w:rsidP="006970C5">
      <w:pPr>
        <w:tabs>
          <w:tab w:val="left" w:pos="567"/>
        </w:tabs>
        <w:rPr>
          <w:rFonts w:cs="Arial"/>
        </w:rPr>
      </w:pPr>
      <w:r w:rsidRPr="00640E58">
        <w:rPr>
          <w:rFonts w:cs="Arial"/>
        </w:rPr>
        <w:t>Ciljevi revizije bili su:</w:t>
      </w:r>
    </w:p>
    <w:p w:rsidR="00036227" w:rsidRPr="00640E58" w:rsidRDefault="00036227" w:rsidP="00640E58">
      <w:pPr>
        <w:widowControl/>
        <w:numPr>
          <w:ilvl w:val="0"/>
          <w:numId w:val="2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rFonts w:cs="Arial"/>
        </w:rPr>
      </w:pPr>
      <w:r w:rsidRPr="00640E58">
        <w:rPr>
          <w:rFonts w:cs="Arial"/>
        </w:rPr>
        <w:t xml:space="preserve">provjeriti istinitost i vjerodostojnost financijskih izvještaja </w:t>
      </w:r>
    </w:p>
    <w:p w:rsidR="00036227" w:rsidRPr="00640E58" w:rsidRDefault="00036227" w:rsidP="00640E58">
      <w:pPr>
        <w:widowControl/>
        <w:numPr>
          <w:ilvl w:val="0"/>
          <w:numId w:val="2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rFonts w:cs="Arial"/>
        </w:rPr>
      </w:pPr>
      <w:r w:rsidRPr="00640E58">
        <w:rPr>
          <w:rFonts w:cs="Arial"/>
        </w:rPr>
        <w:t>provjeriti usklađenost poslovanja sa zakonima i drugim propisima koji imaju značajan utjecaj na poslovanje</w:t>
      </w:r>
    </w:p>
    <w:p w:rsidR="00036227" w:rsidRPr="00640E58" w:rsidRDefault="00036227" w:rsidP="00640E58">
      <w:pPr>
        <w:widowControl/>
        <w:numPr>
          <w:ilvl w:val="0"/>
          <w:numId w:val="2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rFonts w:cs="Arial"/>
        </w:rPr>
      </w:pPr>
      <w:r w:rsidRPr="00640E58">
        <w:rPr>
          <w:rFonts w:cs="Arial"/>
        </w:rPr>
        <w:t xml:space="preserve">provjeriti provedbu naloga i preporuka iz prošle revizije </w:t>
      </w:r>
    </w:p>
    <w:p w:rsidR="00036227" w:rsidRDefault="00036227" w:rsidP="00640E58">
      <w:pPr>
        <w:widowControl/>
        <w:numPr>
          <w:ilvl w:val="0"/>
          <w:numId w:val="2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rFonts w:cs="Arial"/>
        </w:rPr>
      </w:pPr>
      <w:r w:rsidRPr="00640E58">
        <w:rPr>
          <w:rFonts w:cs="Arial"/>
        </w:rPr>
        <w:t>provjeriti druge aktivnosti u vezi s poslovanjem subjekta.</w:t>
      </w:r>
    </w:p>
    <w:p w:rsidR="00640E58" w:rsidRPr="00640E58" w:rsidRDefault="00640E58" w:rsidP="00640E58">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contextualSpacing/>
        <w:textAlignment w:val="baseline"/>
        <w:rPr>
          <w:rFonts w:cs="Arial"/>
        </w:rPr>
      </w:pPr>
    </w:p>
    <w:p w:rsidR="00890D08" w:rsidRDefault="00890D08" w:rsidP="006970C5">
      <w:pPr>
        <w:pStyle w:val="Tijeloteksta"/>
        <w:kinsoku w:val="0"/>
        <w:overflowPunct w:val="0"/>
        <w:ind w:right="-1"/>
        <w:jc w:val="both"/>
        <w:rPr>
          <w:rFonts w:ascii="Arial" w:hAnsi="Arial" w:cs="Arial"/>
        </w:rPr>
      </w:pPr>
      <w:r>
        <w:rPr>
          <w:rFonts w:ascii="Arial" w:hAnsi="Arial" w:cs="Arial"/>
          <w:b/>
        </w:rPr>
        <w:t>O financijskim izvještajima izražena su četiri bezuvjetna i dva uvjetna mišljenja, a o usklađenosti poslovanja jedno bezuvjetno i pet uvjetnih mišljenja</w:t>
      </w:r>
      <w:r w:rsidR="00F25D3C">
        <w:rPr>
          <w:rFonts w:ascii="Arial" w:hAnsi="Arial" w:cs="Arial"/>
          <w:b/>
        </w:rPr>
        <w:t>.</w:t>
      </w:r>
    </w:p>
    <w:p w:rsidR="003F2398" w:rsidRDefault="003F2398" w:rsidP="006970C5">
      <w:pPr>
        <w:tabs>
          <w:tab w:val="left" w:pos="567"/>
        </w:tabs>
        <w:rPr>
          <w:rFonts w:cs="Arial"/>
          <w:b/>
        </w:rPr>
      </w:pPr>
    </w:p>
    <w:p w:rsidR="00E20222" w:rsidRPr="00E20222" w:rsidRDefault="003F2398" w:rsidP="006970C5">
      <w:pPr>
        <w:tabs>
          <w:tab w:val="left" w:pos="567"/>
        </w:tabs>
        <w:rPr>
          <w:rFonts w:cs="Arial"/>
        </w:rPr>
      </w:pPr>
      <w:r w:rsidRPr="003F2398">
        <w:rPr>
          <w:rFonts w:cs="Arial"/>
          <w:b/>
        </w:rPr>
        <w:t>Najveći broj nepravilnosti</w:t>
      </w:r>
      <w:r w:rsidRPr="003F2398">
        <w:rPr>
          <w:rFonts w:cs="Arial"/>
        </w:rPr>
        <w:t xml:space="preserve"> utvrđen je </w:t>
      </w:r>
      <w:r w:rsidRPr="00873852">
        <w:rPr>
          <w:rFonts w:cs="Arial"/>
        </w:rPr>
        <w:t>u području planiranja, s</w:t>
      </w:r>
      <w:r w:rsidR="00CB3F41">
        <w:rPr>
          <w:rFonts w:cs="Arial"/>
        </w:rPr>
        <w:t>ustava unutarnjih kontrola</w:t>
      </w:r>
      <w:r w:rsidRPr="00873852">
        <w:rPr>
          <w:rFonts w:cs="Arial"/>
        </w:rPr>
        <w:t xml:space="preserve"> te javne nabave, a odnosi se na donošenje strateških </w:t>
      </w:r>
      <w:r w:rsidRPr="003F2398">
        <w:rPr>
          <w:rFonts w:cs="Arial"/>
        </w:rPr>
        <w:t>planova, utvrđivanje rizika poslovanja te nabavu roba, radova i usluga jer nisu poštovani načini nabave propisani Zakonom o javnoj nabavi i unutarnjim aktima, odnosno nabave su obavljene ispostavljanjem narudžbenice izravno odabranom dobavljaču ili izravnim ugovaranjem, a trebalo je provesti postupke javne nabave ili uputiti poziv na dostavu ponuda. Bez provedbe postupaka nabavljeno je roba, radova i usluga u vrijednosti od 16.597.887,28 eura</w:t>
      </w:r>
      <w:r w:rsidR="00CB3F41">
        <w:rPr>
          <w:rFonts w:cs="Arial"/>
        </w:rPr>
        <w:t>.</w:t>
      </w:r>
    </w:p>
    <w:p w:rsidR="00890D08" w:rsidRDefault="00890D08" w:rsidP="006970C5">
      <w:pPr>
        <w:pStyle w:val="Tijeloteksta"/>
        <w:kinsoku w:val="0"/>
        <w:overflowPunct w:val="0"/>
        <w:ind w:right="-1" w:firstLine="567"/>
        <w:jc w:val="both"/>
        <w:rPr>
          <w:rFonts w:ascii="Arial" w:hAnsi="Arial" w:cs="Arial"/>
          <w:bCs/>
          <w:color w:val="231F20"/>
        </w:rPr>
      </w:pPr>
    </w:p>
    <w:p w:rsidR="00890D08" w:rsidRDefault="00890D08"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rPr>
      </w:pPr>
      <w:r>
        <w:rPr>
          <w:rFonts w:cs="Arial"/>
        </w:rPr>
        <w:t xml:space="preserve">Za utvrđene nepravilnosti i propuste Ured je dao </w:t>
      </w:r>
      <w:r w:rsidRPr="00890D08">
        <w:rPr>
          <w:rFonts w:cs="Arial"/>
          <w:b/>
        </w:rPr>
        <w:t>87</w:t>
      </w:r>
      <w:r>
        <w:rPr>
          <w:rFonts w:cs="Arial"/>
          <w:b/>
        </w:rPr>
        <w:t xml:space="preserve"> naloga i preporuk</w:t>
      </w:r>
      <w:r w:rsidR="00036227">
        <w:rPr>
          <w:rFonts w:cs="Arial"/>
          <w:b/>
        </w:rPr>
        <w:t>a</w:t>
      </w:r>
      <w:r>
        <w:rPr>
          <w:rFonts w:cs="Arial"/>
        </w:rPr>
        <w:t xml:space="preserve">, čija bi provedba pridonijela postizanju istinitosti i vjerodostojnosti poslovnih knjiga i financijskih izvještaja, većoj usklađenosti poslovanja sa zakonima i drugim propisima, postizanju ušteda pri nabavi roba, radova i usluga te većoj transparentnosti u postupcima nabave. </w:t>
      </w:r>
    </w:p>
    <w:p w:rsidR="00036227" w:rsidRDefault="00890D08"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rPr>
      </w:pPr>
      <w:r>
        <w:rPr>
          <w:rFonts w:cs="Arial"/>
        </w:rPr>
        <w:tab/>
      </w:r>
    </w:p>
    <w:p w:rsidR="00687475" w:rsidRDefault="00873852"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r>
        <w:rPr>
          <w:rFonts w:cs="Arial"/>
        </w:rPr>
        <w:t>O</w:t>
      </w:r>
      <w:r w:rsidR="00890D08">
        <w:rPr>
          <w:rFonts w:cs="Arial"/>
        </w:rPr>
        <w:t>sim toga, utvrđeno je da je</w:t>
      </w:r>
      <w:r w:rsidR="00CB3F41">
        <w:rPr>
          <w:rFonts w:cs="Arial"/>
        </w:rPr>
        <w:t>,</w:t>
      </w:r>
      <w:r w:rsidR="00890D08">
        <w:rPr>
          <w:rFonts w:cs="Arial"/>
        </w:rPr>
        <w:t xml:space="preserve"> od </w:t>
      </w:r>
      <w:r w:rsidR="00CB3F41">
        <w:rPr>
          <w:rFonts w:cs="Arial"/>
          <w:b/>
        </w:rPr>
        <w:t>jedanaest</w:t>
      </w:r>
      <w:r w:rsidR="00890D08">
        <w:rPr>
          <w:rFonts w:cs="Arial"/>
          <w:b/>
        </w:rPr>
        <w:t xml:space="preserve"> naloga i preporuka danih u prošlim revizijama</w:t>
      </w:r>
      <w:r w:rsidR="00890D08">
        <w:rPr>
          <w:rFonts w:cs="Arial"/>
        </w:rPr>
        <w:t xml:space="preserve">, provedeno </w:t>
      </w:r>
      <w:r w:rsidR="00890D08" w:rsidRPr="00890D08">
        <w:rPr>
          <w:rFonts w:cs="Arial"/>
          <w:b/>
        </w:rPr>
        <w:t>pet naloga i preporuka, pet nije provedeno te je djelomično proveden jedan nalog.</w:t>
      </w:r>
    </w:p>
    <w:p w:rsidR="00687475" w:rsidRDefault="00687475"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p>
    <w:p w:rsidR="00687475" w:rsidRDefault="00687475"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p>
    <w:p w:rsidR="00235D6B" w:rsidRDefault="00235D6B"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p>
    <w:p w:rsidR="00235D6B" w:rsidRDefault="00235D6B"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p>
    <w:p w:rsidR="00235D6B" w:rsidRDefault="00235D6B"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p>
    <w:p w:rsidR="00235D6B" w:rsidRDefault="00235D6B"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p>
    <w:p w:rsidR="00235D6B" w:rsidRDefault="00235D6B"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p>
    <w:p w:rsidR="00687475" w:rsidRDefault="00687475" w:rsidP="006970C5">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r>
        <w:rPr>
          <w:rFonts w:cs="Arial"/>
          <w:b/>
        </w:rPr>
        <w:t xml:space="preserve"> </w:t>
      </w:r>
    </w:p>
    <w:p w:rsidR="00813404" w:rsidRDefault="00813404" w:rsidP="006970C5">
      <w:pPr>
        <w:shd w:val="clear" w:color="auto" w:fill="DBE5F1" w:themeFill="accent1" w:themeFillTint="33"/>
        <w:tabs>
          <w:tab w:val="left" w:pos="567"/>
        </w:tabs>
        <w:rPr>
          <w:rFonts w:cs="Arial"/>
          <w:b/>
        </w:rPr>
      </w:pPr>
      <w:r>
        <w:rPr>
          <w:rFonts w:cs="Arial"/>
          <w:b/>
        </w:rPr>
        <w:lastRenderedPageBreak/>
        <w:t>II.</w:t>
      </w:r>
      <w:r>
        <w:rPr>
          <w:rFonts w:cs="Arial"/>
          <w:b/>
        </w:rPr>
        <w:tab/>
      </w:r>
      <w:r w:rsidR="00B03CB4">
        <w:rPr>
          <w:rFonts w:cs="Arial"/>
          <w:b/>
        </w:rPr>
        <w:t xml:space="preserve">IZVJEŠĆA O OBAVLJENOJ </w:t>
      </w:r>
      <w:r w:rsidRPr="0054357A">
        <w:rPr>
          <w:rFonts w:cs="Arial"/>
          <w:b/>
        </w:rPr>
        <w:t>PROVJER</w:t>
      </w:r>
      <w:r w:rsidR="00B03CB4">
        <w:rPr>
          <w:rFonts w:cs="Arial"/>
          <w:b/>
        </w:rPr>
        <w:t>I</w:t>
      </w:r>
      <w:r w:rsidRPr="0054357A">
        <w:rPr>
          <w:rFonts w:cs="Arial"/>
          <w:b/>
        </w:rPr>
        <w:t xml:space="preserve"> PROVEDBE NALOGA I PREPORUKA </w:t>
      </w:r>
    </w:p>
    <w:p w:rsidR="00B03CB4" w:rsidRPr="00B03CB4" w:rsidRDefault="00B03CB4" w:rsidP="006970C5">
      <w:pPr>
        <w:shd w:val="clear" w:color="auto" w:fill="DBE5F1" w:themeFill="accent1" w:themeFillTint="33"/>
        <w:tabs>
          <w:tab w:val="left" w:pos="567"/>
        </w:tabs>
        <w:rPr>
          <w:rFonts w:cs="Arial"/>
        </w:rPr>
      </w:pPr>
      <w:r>
        <w:rPr>
          <w:rFonts w:cs="Arial"/>
        </w:rPr>
        <w:tab/>
      </w:r>
      <w:r w:rsidR="00B54302">
        <w:rPr>
          <w:rFonts w:cs="Arial"/>
        </w:rPr>
        <w:t>(u okviru zasebnog postupka p</w:t>
      </w:r>
      <w:r w:rsidRPr="00B03CB4">
        <w:rPr>
          <w:rFonts w:cs="Arial"/>
        </w:rPr>
        <w:t>r</w:t>
      </w:r>
      <w:r w:rsidR="00B54302">
        <w:rPr>
          <w:rFonts w:cs="Arial"/>
        </w:rPr>
        <w:t>o</w:t>
      </w:r>
      <w:r w:rsidRPr="00B03CB4">
        <w:rPr>
          <w:rFonts w:cs="Arial"/>
        </w:rPr>
        <w:t>vjere)</w:t>
      </w:r>
    </w:p>
    <w:p w:rsidR="00813404" w:rsidRPr="0054357A" w:rsidRDefault="00813404" w:rsidP="006970C5">
      <w:pPr>
        <w:tabs>
          <w:tab w:val="left" w:pos="567"/>
          <w:tab w:val="left" w:pos="993"/>
        </w:tabs>
        <w:ind w:left="567" w:hanging="567"/>
        <w:rPr>
          <w:rFonts w:cs="Arial"/>
          <w:b/>
        </w:rPr>
      </w:pPr>
    </w:p>
    <w:p w:rsidR="00827C71" w:rsidRDefault="00813404" w:rsidP="006970C5">
      <w:pPr>
        <w:tabs>
          <w:tab w:val="left" w:pos="284"/>
          <w:tab w:val="left" w:pos="567"/>
          <w:tab w:val="left" w:pos="851"/>
        </w:tabs>
      </w:pPr>
      <w:r w:rsidRPr="0054357A">
        <w:t xml:space="preserve">U </w:t>
      </w:r>
      <w:r>
        <w:t>postupku</w:t>
      </w:r>
      <w:r w:rsidRPr="0054357A">
        <w:t xml:space="preserve"> obavljanja revizija, za utvrđene nepravilnosti i propuste Ured subjektima revizije daje naloge i preporuke u cilju njihova otklanjanja te kako bi poboljšali pravilnost poslovanja</w:t>
      </w:r>
      <w:r w:rsidR="00777653">
        <w:t>.</w:t>
      </w:r>
      <w:r w:rsidR="007E1E1F">
        <w:t xml:space="preserve"> </w:t>
      </w:r>
      <w:r w:rsidRPr="0054357A">
        <w:t>Prema odredbama članka 22. Zakona o Državnom uredu za reviziju</w:t>
      </w:r>
      <w:r w:rsidR="00CB3F41">
        <w:t>,</w:t>
      </w:r>
      <w:r w:rsidRPr="0054357A">
        <w:t xml:space="preserve"> subjekti revizije u roku od 60 dana od dana primitka konačnog izvješća o obavljenoj reviziji </w:t>
      </w:r>
      <w:r w:rsidR="00827C71">
        <w:t xml:space="preserve">Uredu </w:t>
      </w:r>
      <w:r w:rsidRPr="0054357A">
        <w:t xml:space="preserve">dostavljaju plan provedbe naloga i preporuka, </w:t>
      </w:r>
      <w:r w:rsidR="007E1E1F">
        <w:t>s planiranim</w:t>
      </w:r>
      <w:r w:rsidRPr="0054357A">
        <w:t xml:space="preserve"> aktivnosti</w:t>
      </w:r>
      <w:r w:rsidR="007E1E1F">
        <w:t>ma</w:t>
      </w:r>
      <w:r w:rsidRPr="0054357A">
        <w:t xml:space="preserve"> za otklanjanje nepravilnosti i planiran</w:t>
      </w:r>
      <w:r w:rsidR="007E1E1F">
        <w:t>im vremenom</w:t>
      </w:r>
      <w:r w:rsidRPr="0054357A">
        <w:t xml:space="preserve"> za njihovu provedbu. </w:t>
      </w:r>
    </w:p>
    <w:p w:rsidR="00640E58" w:rsidRDefault="00640E58" w:rsidP="006970C5">
      <w:pPr>
        <w:tabs>
          <w:tab w:val="left" w:pos="284"/>
          <w:tab w:val="left" w:pos="567"/>
          <w:tab w:val="left" w:pos="851"/>
        </w:tabs>
        <w:ind w:firstLine="567"/>
        <w:rPr>
          <w:b/>
        </w:rPr>
      </w:pPr>
    </w:p>
    <w:p w:rsidR="00827C71" w:rsidRPr="005F3488" w:rsidRDefault="00827C71" w:rsidP="006970C5">
      <w:pPr>
        <w:tabs>
          <w:tab w:val="left" w:pos="284"/>
          <w:tab w:val="left" w:pos="567"/>
          <w:tab w:val="left" w:pos="851"/>
        </w:tabs>
        <w:rPr>
          <w:b/>
        </w:rPr>
      </w:pPr>
      <w:r w:rsidRPr="005F3488">
        <w:rPr>
          <w:b/>
        </w:rPr>
        <w:t>Subjekti revizije obvezni su provesti naloge i preporuke dane u izvješću o obavljenoj reviziji u rokovima i na način naveden u pl</w:t>
      </w:r>
      <w:r w:rsidR="00CB3F41">
        <w:rPr>
          <w:b/>
        </w:rPr>
        <w:t>anu provedbe naloga i preporuka</w:t>
      </w:r>
      <w:r w:rsidRPr="005F3488">
        <w:rPr>
          <w:b/>
        </w:rPr>
        <w:t xml:space="preserve"> te o </w:t>
      </w:r>
      <w:r w:rsidR="00640E58">
        <w:rPr>
          <w:b/>
        </w:rPr>
        <w:t>provedbi</w:t>
      </w:r>
      <w:r w:rsidRPr="005F3488">
        <w:rPr>
          <w:b/>
        </w:rPr>
        <w:t xml:space="preserve"> izvijestiti Ured, a Ured je obvezan obavijestiti Državno odvjetništvo o nalozima i preporukama koji nisu provedeni. </w:t>
      </w:r>
    </w:p>
    <w:p w:rsidR="0024456C" w:rsidRDefault="0024456C" w:rsidP="006970C5">
      <w:pPr>
        <w:ind w:firstLine="567"/>
        <w:rPr>
          <w:rFonts w:cs="Arial"/>
        </w:rPr>
      </w:pPr>
    </w:p>
    <w:p w:rsidR="00827C71" w:rsidRPr="003B6C31" w:rsidRDefault="00827C71" w:rsidP="006970C5">
      <w:pPr>
        <w:rPr>
          <w:rFonts w:cs="Arial"/>
        </w:rPr>
      </w:pPr>
      <w:r w:rsidRPr="003B6C31">
        <w:rPr>
          <w:rFonts w:cs="Arial"/>
        </w:rPr>
        <w:t>Cilj provj</w:t>
      </w:r>
      <w:r w:rsidR="00640E58">
        <w:rPr>
          <w:rFonts w:cs="Arial"/>
        </w:rPr>
        <w:t xml:space="preserve">ere provedbe naloga i preporuka je, </w:t>
      </w:r>
      <w:r w:rsidRPr="00640E58">
        <w:rPr>
          <w:rFonts w:cs="Arial"/>
        </w:rPr>
        <w:t>u okviru redovne revizije ili u okviru zasebnog postupka provjere</w:t>
      </w:r>
      <w:r w:rsidR="00640E58">
        <w:rPr>
          <w:rFonts w:cs="Arial"/>
        </w:rPr>
        <w:t>,</w:t>
      </w:r>
      <w:r>
        <w:rPr>
          <w:rFonts w:cs="Arial"/>
        </w:rPr>
        <w:t xml:space="preserve"> </w:t>
      </w:r>
      <w:r w:rsidRPr="003B6C31">
        <w:rPr>
          <w:rFonts w:cs="Arial"/>
        </w:rPr>
        <w:t xml:space="preserve">provjeriti jesu li </w:t>
      </w:r>
      <w:r>
        <w:rPr>
          <w:rFonts w:cs="Arial"/>
        </w:rPr>
        <w:t xml:space="preserve">subjekti proveli naloge </w:t>
      </w:r>
      <w:r w:rsidRPr="003B6C31">
        <w:rPr>
          <w:rFonts w:cs="Arial"/>
        </w:rPr>
        <w:t>i preporuk</w:t>
      </w:r>
      <w:r>
        <w:rPr>
          <w:rFonts w:cs="Arial"/>
        </w:rPr>
        <w:t xml:space="preserve">e </w:t>
      </w:r>
      <w:r w:rsidRPr="003B6C31">
        <w:rPr>
          <w:rFonts w:cs="Arial"/>
        </w:rPr>
        <w:t xml:space="preserve">u rokovima i na način naveden u planu provedbe naloga i preporuka te jesu </w:t>
      </w:r>
      <w:r>
        <w:rPr>
          <w:rFonts w:cs="Arial"/>
        </w:rPr>
        <w:t>li o</w:t>
      </w:r>
      <w:r w:rsidR="00250DB3">
        <w:rPr>
          <w:rFonts w:cs="Arial"/>
        </w:rPr>
        <w:t xml:space="preserve"> tome</w:t>
      </w:r>
      <w:r w:rsidRPr="003B6C31">
        <w:rPr>
          <w:rFonts w:cs="Arial"/>
        </w:rPr>
        <w:t xml:space="preserve"> izvještavali Ured u roku od 30 dana od planiranog vremena proved</w:t>
      </w:r>
      <w:r>
        <w:rPr>
          <w:rFonts w:cs="Arial"/>
        </w:rPr>
        <w:t>be, u skladu s odredbama Zakona.</w:t>
      </w:r>
    </w:p>
    <w:p w:rsidR="00B54302" w:rsidRDefault="00B54302" w:rsidP="006970C5">
      <w:pPr>
        <w:tabs>
          <w:tab w:val="left" w:pos="284"/>
          <w:tab w:val="left" w:pos="567"/>
          <w:tab w:val="left" w:pos="851"/>
        </w:tabs>
        <w:ind w:firstLine="567"/>
      </w:pPr>
    </w:p>
    <w:p w:rsidR="0024456C" w:rsidRDefault="0024456C" w:rsidP="006970C5">
      <w:pPr>
        <w:tabs>
          <w:tab w:val="left" w:pos="284"/>
          <w:tab w:val="left" w:pos="567"/>
          <w:tab w:val="left" w:pos="851"/>
        </w:tabs>
        <w:ind w:firstLine="567"/>
      </w:pPr>
    </w:p>
    <w:p w:rsidR="00B03CB4" w:rsidRPr="006E26D9" w:rsidRDefault="007E1E1F" w:rsidP="006970C5">
      <w:pPr>
        <w:shd w:val="clear" w:color="auto" w:fill="DBE5F1" w:themeFill="accent1" w:themeFillTint="33"/>
        <w:jc w:val="left"/>
        <w:rPr>
          <w:rFonts w:cs="Arial"/>
          <w:b/>
        </w:rPr>
      </w:pPr>
      <w:r>
        <w:rPr>
          <w:rFonts w:cs="Arial"/>
          <w:b/>
        </w:rPr>
        <w:t>P</w:t>
      </w:r>
      <w:r w:rsidRPr="006E26D9">
        <w:rPr>
          <w:rFonts w:cs="Arial"/>
          <w:b/>
        </w:rPr>
        <w:t>ROVJER</w:t>
      </w:r>
      <w:r>
        <w:rPr>
          <w:rFonts w:cs="Arial"/>
          <w:b/>
        </w:rPr>
        <w:t>A</w:t>
      </w:r>
      <w:r w:rsidRPr="006E26D9">
        <w:rPr>
          <w:rFonts w:cs="Arial"/>
          <w:b/>
        </w:rPr>
        <w:t xml:space="preserve"> PROVEDBE NALOGA I PREPORUKA DANIH U FINANCIJSKIM REVIZIJAMA </w:t>
      </w:r>
    </w:p>
    <w:p w:rsidR="00813404" w:rsidRDefault="00813404" w:rsidP="006970C5">
      <w:pPr>
        <w:ind w:left="567"/>
        <w:rPr>
          <w:rFonts w:cs="Arial"/>
          <w:b/>
        </w:rPr>
      </w:pPr>
    </w:p>
    <w:p w:rsidR="00EB6E01" w:rsidRPr="00640E58" w:rsidRDefault="00B54302" w:rsidP="006970C5">
      <w:pPr>
        <w:tabs>
          <w:tab w:val="left" w:pos="0"/>
        </w:tabs>
        <w:rPr>
          <w:rFonts w:eastAsia="Calibri"/>
          <w:b/>
          <w:szCs w:val="22"/>
          <w:lang w:eastAsia="en-US"/>
        </w:rPr>
      </w:pPr>
      <w:r>
        <w:rPr>
          <w:rFonts w:cs="Arial"/>
        </w:rPr>
        <w:t>T</w:t>
      </w:r>
      <w:r w:rsidR="003B6C31" w:rsidRPr="003B6C31">
        <w:rPr>
          <w:rFonts w:cs="Arial"/>
        </w:rPr>
        <w:t xml:space="preserve">ijekom 2024. obavljena je provjera provedbe naloga i preporuka danih u prošlim </w:t>
      </w:r>
      <w:r w:rsidR="003B6C31" w:rsidRPr="00640E58">
        <w:rPr>
          <w:rFonts w:cs="Arial"/>
        </w:rPr>
        <w:t xml:space="preserve">financijskim revizijama 12 </w:t>
      </w:r>
      <w:r w:rsidR="003B6C31" w:rsidRPr="00640E58">
        <w:t>JLP(R)S:</w:t>
      </w:r>
      <w:r w:rsidR="00EB6E01">
        <w:rPr>
          <w:b/>
        </w:rPr>
        <w:t xml:space="preserve"> </w:t>
      </w:r>
      <w:r w:rsidR="00EB6E01" w:rsidRPr="00640E58">
        <w:rPr>
          <w:rFonts w:eastAsia="Calibri"/>
          <w:b/>
          <w:szCs w:val="22"/>
          <w:lang w:eastAsia="en-US"/>
        </w:rPr>
        <w:t>Ši</w:t>
      </w:r>
      <w:r w:rsidR="005F3488" w:rsidRPr="00640E58">
        <w:rPr>
          <w:rFonts w:eastAsia="Calibri"/>
          <w:b/>
          <w:szCs w:val="22"/>
          <w:lang w:eastAsia="en-US"/>
        </w:rPr>
        <w:t>bensko-kninske županije, gradova</w:t>
      </w:r>
      <w:r w:rsidR="00EB6E01" w:rsidRPr="00640E58">
        <w:rPr>
          <w:rFonts w:eastAsia="Calibri"/>
          <w:b/>
          <w:szCs w:val="22"/>
          <w:lang w:eastAsia="en-US"/>
        </w:rPr>
        <w:t xml:space="preserve"> Lepoglav</w:t>
      </w:r>
      <w:r w:rsidR="005F3488" w:rsidRPr="00640E58">
        <w:rPr>
          <w:rFonts w:eastAsia="Calibri"/>
          <w:b/>
          <w:szCs w:val="22"/>
          <w:lang w:eastAsia="en-US"/>
        </w:rPr>
        <w:t>e</w:t>
      </w:r>
      <w:r w:rsidR="00EB6E01" w:rsidRPr="00640E58">
        <w:rPr>
          <w:rFonts w:eastAsia="Calibri"/>
          <w:b/>
          <w:szCs w:val="22"/>
          <w:lang w:eastAsia="en-US"/>
        </w:rPr>
        <w:t xml:space="preserve"> i Ogulin</w:t>
      </w:r>
      <w:r w:rsidR="005F3488" w:rsidRPr="00640E58">
        <w:rPr>
          <w:rFonts w:eastAsia="Calibri"/>
          <w:b/>
          <w:szCs w:val="22"/>
          <w:lang w:eastAsia="en-US"/>
        </w:rPr>
        <w:t>a</w:t>
      </w:r>
      <w:r w:rsidR="00EB6E01" w:rsidRPr="00640E58">
        <w:rPr>
          <w:rFonts w:eastAsia="Calibri"/>
          <w:b/>
          <w:szCs w:val="22"/>
          <w:lang w:eastAsia="en-US"/>
        </w:rPr>
        <w:t xml:space="preserve"> te </w:t>
      </w:r>
      <w:r w:rsidR="005F3488" w:rsidRPr="00640E58">
        <w:rPr>
          <w:rFonts w:eastAsia="Calibri"/>
          <w:b/>
          <w:szCs w:val="22"/>
          <w:lang w:eastAsia="en-US"/>
        </w:rPr>
        <w:t>općina</w:t>
      </w:r>
      <w:r w:rsidR="00EB6E01" w:rsidRPr="00640E58">
        <w:rPr>
          <w:rFonts w:eastAsia="Calibri"/>
          <w:b/>
          <w:szCs w:val="22"/>
          <w:lang w:eastAsia="en-US"/>
        </w:rPr>
        <w:t xml:space="preserve"> Barilović, Donji Vidovec, Legrad, Maruševec, Orehovica, Štrigova, Tribunj, Veliki Bukovec i Visoko.</w:t>
      </w:r>
    </w:p>
    <w:p w:rsidR="003B6C31" w:rsidRDefault="003B6C31" w:rsidP="006970C5">
      <w:pPr>
        <w:tabs>
          <w:tab w:val="left" w:pos="284"/>
          <w:tab w:val="left" w:pos="567"/>
          <w:tab w:val="left" w:pos="851"/>
        </w:tabs>
        <w:rPr>
          <w:rFonts w:cs="Arial"/>
        </w:rPr>
      </w:pPr>
    </w:p>
    <w:p w:rsidR="003B6C31" w:rsidRPr="003B6C31" w:rsidRDefault="003B6C31" w:rsidP="006970C5">
      <w:pPr>
        <w:tabs>
          <w:tab w:val="left" w:pos="284"/>
          <w:tab w:val="left" w:pos="567"/>
          <w:tab w:val="left" w:pos="851"/>
        </w:tabs>
        <w:rPr>
          <w:rFonts w:cs="Arial"/>
          <w:b/>
          <w:color w:val="000000" w:themeColor="text1"/>
        </w:rPr>
      </w:pPr>
      <w:r w:rsidRPr="003B6C31">
        <w:rPr>
          <w:rFonts w:cs="Arial"/>
        </w:rPr>
        <w:t xml:space="preserve">U financijskim revizijama koje su obavljene za 2019., 2020., 2021. i 2022., </w:t>
      </w:r>
      <w:r w:rsidR="00827C71">
        <w:rPr>
          <w:rFonts w:cs="Arial"/>
        </w:rPr>
        <w:t xml:space="preserve">ovim </w:t>
      </w:r>
      <w:r w:rsidR="00B54302">
        <w:rPr>
          <w:rFonts w:cs="Arial"/>
        </w:rPr>
        <w:t xml:space="preserve">subjektima revizije </w:t>
      </w:r>
      <w:r w:rsidR="00483909">
        <w:rPr>
          <w:rFonts w:cs="Arial"/>
        </w:rPr>
        <w:t>dana su</w:t>
      </w:r>
      <w:r w:rsidR="005F3488">
        <w:rPr>
          <w:rFonts w:cs="Arial"/>
        </w:rPr>
        <w:t xml:space="preserve"> </w:t>
      </w:r>
      <w:r w:rsidRPr="003B6C31">
        <w:rPr>
          <w:rFonts w:cs="Arial"/>
        </w:rPr>
        <w:t xml:space="preserve">ukupno </w:t>
      </w:r>
      <w:r w:rsidR="002B4CE5">
        <w:rPr>
          <w:rFonts w:cs="Arial"/>
          <w:b/>
        </w:rPr>
        <w:t>192 naloga i preporuke</w:t>
      </w:r>
      <w:r w:rsidR="00B54302">
        <w:rPr>
          <w:rFonts w:cs="Arial"/>
        </w:rPr>
        <w:t>, a provjerom je utv</w:t>
      </w:r>
      <w:r>
        <w:rPr>
          <w:rFonts w:cs="Arial"/>
          <w:color w:val="000000" w:themeColor="text1"/>
        </w:rPr>
        <w:t xml:space="preserve">rđeno </w:t>
      </w:r>
      <w:r w:rsidR="00B54302">
        <w:rPr>
          <w:rFonts w:cs="Arial"/>
          <w:color w:val="000000" w:themeColor="text1"/>
        </w:rPr>
        <w:t>da je</w:t>
      </w:r>
      <w:r w:rsidRPr="003B6C31">
        <w:rPr>
          <w:rFonts w:cs="Arial"/>
          <w:color w:val="000000" w:themeColor="text1"/>
        </w:rPr>
        <w:t xml:space="preserve"> </w:t>
      </w:r>
      <w:r w:rsidRPr="003B6C31">
        <w:rPr>
          <w:rFonts w:cs="Arial"/>
          <w:b/>
          <w:color w:val="000000" w:themeColor="text1"/>
        </w:rPr>
        <w:t xml:space="preserve">provedeno </w:t>
      </w:r>
      <w:r w:rsidRPr="003B6C31">
        <w:rPr>
          <w:rFonts w:cs="Arial"/>
          <w:color w:val="000000" w:themeColor="text1"/>
        </w:rPr>
        <w:t xml:space="preserve">(u roku i nakon roka) </w:t>
      </w:r>
      <w:r w:rsidRPr="003B6C31">
        <w:rPr>
          <w:rFonts w:cs="Arial"/>
          <w:b/>
          <w:color w:val="000000" w:themeColor="text1"/>
        </w:rPr>
        <w:t>157 ili 81,8 %</w:t>
      </w:r>
      <w:r w:rsidRPr="003B6C31">
        <w:rPr>
          <w:rFonts w:cs="Arial"/>
          <w:color w:val="000000" w:themeColor="text1"/>
        </w:rPr>
        <w:t xml:space="preserve">, </w:t>
      </w:r>
      <w:r w:rsidRPr="003B6C31">
        <w:rPr>
          <w:rFonts w:cs="Arial"/>
          <w:b/>
          <w:color w:val="000000" w:themeColor="text1"/>
        </w:rPr>
        <w:t>djelomično je provedeno 1</w:t>
      </w:r>
      <w:r w:rsidR="00086EDD">
        <w:rPr>
          <w:rFonts w:cs="Arial"/>
          <w:b/>
          <w:color w:val="000000" w:themeColor="text1"/>
        </w:rPr>
        <w:t xml:space="preserve">9 ili 9,9 %, nije provedeno 12 </w:t>
      </w:r>
      <w:r w:rsidR="00483909">
        <w:rPr>
          <w:rFonts w:cs="Arial"/>
          <w:b/>
          <w:color w:val="000000" w:themeColor="text1"/>
        </w:rPr>
        <w:t>ili 6,2 %, a četiri naloga i preporuke</w:t>
      </w:r>
      <w:r w:rsidRPr="003B6C31">
        <w:rPr>
          <w:rFonts w:cs="Arial"/>
          <w:b/>
          <w:color w:val="000000" w:themeColor="text1"/>
        </w:rPr>
        <w:t xml:space="preserve"> ili 2,1 % nije primjenjivo</w:t>
      </w:r>
      <w:r w:rsidRPr="003B6C31">
        <w:rPr>
          <w:rFonts w:cs="Arial"/>
          <w:color w:val="000000" w:themeColor="text1"/>
        </w:rPr>
        <w:t xml:space="preserve"> (zbog izmjene propisa ili subjekti revizije nisu imali aktivnosti za koje su u financijskoj reviziji dani nalozi i preporuke). </w:t>
      </w:r>
    </w:p>
    <w:p w:rsidR="003B6C31" w:rsidRPr="003B6C31" w:rsidRDefault="003B6C31" w:rsidP="006970C5">
      <w:pPr>
        <w:ind w:firstLine="567"/>
        <w:rPr>
          <w:rFonts w:cs="Arial"/>
          <w:color w:val="FF0000"/>
        </w:rPr>
      </w:pPr>
    </w:p>
    <w:p w:rsidR="00601A3E" w:rsidRPr="0024456C" w:rsidRDefault="003B6C31" w:rsidP="00601A3E">
      <w:pPr>
        <w:rPr>
          <w:rFonts w:cs="Arial"/>
          <w:b/>
        </w:rPr>
      </w:pPr>
      <w:r w:rsidRPr="003B6C31">
        <w:rPr>
          <w:rFonts w:cs="Arial"/>
          <w:color w:val="000000" w:themeColor="text1"/>
        </w:rPr>
        <w:t xml:space="preserve">Provedba naloga i preporuka pridonijela je realnijem iskazivanju podataka u financijskim izvještajima </w:t>
      </w:r>
      <w:r w:rsidR="005F3488">
        <w:rPr>
          <w:rFonts w:cs="Arial"/>
          <w:color w:val="000000" w:themeColor="text1"/>
        </w:rPr>
        <w:t xml:space="preserve">ovih </w:t>
      </w:r>
      <w:r w:rsidRPr="003B6C31">
        <w:rPr>
          <w:rFonts w:cs="Arial"/>
          <w:color w:val="000000" w:themeColor="text1"/>
        </w:rPr>
        <w:t>subjekata revizije, boljem upravljanju imovinom te većoj usklađenosti poslovanja sa zakonima, drugim propisima i unutarnjim aktima.</w:t>
      </w:r>
      <w:r w:rsidRPr="003B6C31">
        <w:rPr>
          <w:rFonts w:cs="Arial"/>
          <w:color w:val="FF0000"/>
        </w:rPr>
        <w:t xml:space="preserve"> </w:t>
      </w:r>
      <w:r w:rsidR="00601A3E" w:rsidRPr="0024456C">
        <w:rPr>
          <w:rFonts w:cs="Arial"/>
          <w:b/>
        </w:rPr>
        <w:t>Jedinice lokalne</w:t>
      </w:r>
      <w:r w:rsidR="00601A3E">
        <w:rPr>
          <w:rFonts w:cs="Arial"/>
          <w:b/>
        </w:rPr>
        <w:t xml:space="preserve"> i područne (regionalne) </w:t>
      </w:r>
      <w:r w:rsidR="00601A3E" w:rsidRPr="0024456C">
        <w:rPr>
          <w:rFonts w:cs="Arial"/>
          <w:b/>
        </w:rPr>
        <w:t xml:space="preserve">samouprave su i nadalje u obvezi postupati prema nalozima i preporukama koji nisu provedeni ili nisu u cijelosti provedeni.  </w:t>
      </w:r>
    </w:p>
    <w:p w:rsidR="003B6C31" w:rsidRPr="003B6C31" w:rsidRDefault="003B6C31" w:rsidP="006970C5">
      <w:pPr>
        <w:pBdr>
          <w:bottom w:val="single" w:sz="4" w:space="1" w:color="auto"/>
        </w:pBdr>
        <w:ind w:firstLine="567"/>
        <w:rPr>
          <w:rFonts w:eastAsia="Calibri"/>
          <w:b/>
          <w:color w:val="000000" w:themeColor="text1"/>
        </w:rPr>
      </w:pPr>
    </w:p>
    <w:p w:rsidR="00AF3BF7" w:rsidRDefault="00AF3BF7" w:rsidP="006970C5">
      <w:pPr>
        <w:ind w:left="567" w:hanging="567"/>
        <w:rPr>
          <w:rFonts w:cs="Arial"/>
          <w:b/>
        </w:rPr>
      </w:pPr>
    </w:p>
    <w:p w:rsidR="00827C71" w:rsidRDefault="003B6C31" w:rsidP="006970C5">
      <w:pPr>
        <w:tabs>
          <w:tab w:val="left" w:pos="0"/>
        </w:tabs>
        <w:rPr>
          <w:rFonts w:eastAsia="Calibri"/>
          <w:szCs w:val="22"/>
          <w:lang w:eastAsia="en-US"/>
        </w:rPr>
      </w:pPr>
      <w:r>
        <w:t xml:space="preserve">Obavljena je i </w:t>
      </w:r>
      <w:r w:rsidR="006E26D9">
        <w:t>provjer</w:t>
      </w:r>
      <w:r>
        <w:t>a</w:t>
      </w:r>
      <w:r w:rsidR="006E26D9">
        <w:t xml:space="preserve"> provedbe naloga i preporuka danih u prošlim financijskim revizijama </w:t>
      </w:r>
      <w:r w:rsidR="006E26D9" w:rsidRPr="00640E58">
        <w:t xml:space="preserve">tri trgovačka društva u vlasništvu </w:t>
      </w:r>
      <w:r w:rsidRPr="00640E58">
        <w:t>JLP(R)S</w:t>
      </w:r>
      <w:r w:rsidR="00F53B86" w:rsidRPr="00640E58">
        <w:t xml:space="preserve"> za 2021. i 2022.:</w:t>
      </w:r>
      <w:r w:rsidR="00827C71">
        <w:t xml:space="preserve"> </w:t>
      </w:r>
      <w:r w:rsidR="00827C71" w:rsidRPr="00640E58">
        <w:rPr>
          <w:rFonts w:eastAsia="Calibri"/>
          <w:b/>
          <w:szCs w:val="22"/>
          <w:lang w:eastAsia="en-US"/>
        </w:rPr>
        <w:t>OD</w:t>
      </w:r>
      <w:r w:rsidR="002B4CE5" w:rsidRPr="00640E58">
        <w:rPr>
          <w:rFonts w:eastAsia="Calibri"/>
          <w:b/>
          <w:szCs w:val="22"/>
          <w:lang w:eastAsia="en-US"/>
        </w:rPr>
        <w:t>LAGALIŠTE d.o.o., Nova Gradiška;</w:t>
      </w:r>
      <w:r w:rsidR="00827C71" w:rsidRPr="00640E58">
        <w:rPr>
          <w:rFonts w:eastAsia="Calibri"/>
          <w:b/>
          <w:szCs w:val="22"/>
          <w:lang w:eastAsia="en-US"/>
        </w:rPr>
        <w:t xml:space="preserve"> EKO KONG d.o.o., Nova Gradiška i Škovacin d.o.o., Rogoznica</w:t>
      </w:r>
      <w:r w:rsidR="002B4CE5" w:rsidRPr="00640E58">
        <w:rPr>
          <w:rFonts w:eastAsia="Calibri"/>
          <w:b/>
          <w:szCs w:val="22"/>
          <w:lang w:eastAsia="en-US"/>
        </w:rPr>
        <w:t>.</w:t>
      </w:r>
    </w:p>
    <w:p w:rsidR="006E26D9" w:rsidRDefault="006E26D9" w:rsidP="006970C5">
      <w:pPr>
        <w:ind w:firstLine="708"/>
        <w:rPr>
          <w:szCs w:val="22"/>
        </w:rPr>
      </w:pPr>
    </w:p>
    <w:p w:rsidR="006E26D9" w:rsidRDefault="00F30EB7" w:rsidP="006970C5">
      <w:r>
        <w:t>P</w:t>
      </w:r>
      <w:r w:rsidR="006E26D9">
        <w:t>rovjerom provedbe naloga i preporuka utvrđeno je da je</w:t>
      </w:r>
      <w:r w:rsidR="002B4CE5">
        <w:t>,</w:t>
      </w:r>
      <w:r w:rsidR="006E26D9">
        <w:t xml:space="preserve"> od </w:t>
      </w:r>
      <w:r w:rsidR="006E26D9" w:rsidRPr="00266978">
        <w:rPr>
          <w:b/>
        </w:rPr>
        <w:t>45 naloga i preporuka</w:t>
      </w:r>
      <w:r w:rsidR="002B4CE5">
        <w:rPr>
          <w:b/>
        </w:rPr>
        <w:t>,</w:t>
      </w:r>
      <w:r w:rsidR="006E26D9">
        <w:t xml:space="preserve"> </w:t>
      </w:r>
      <w:r w:rsidR="006E26D9" w:rsidRPr="00266978">
        <w:rPr>
          <w:b/>
        </w:rPr>
        <w:t>provedeno 16 naloga i preporuka ili 35,5 %</w:t>
      </w:r>
      <w:r w:rsidR="006E26D9">
        <w:t>, od čega 14 u roku, a dva nakon roka</w:t>
      </w:r>
      <w:r w:rsidR="000B396B">
        <w:t xml:space="preserve">; </w:t>
      </w:r>
      <w:r w:rsidR="006E26D9" w:rsidRPr="00266978">
        <w:rPr>
          <w:b/>
        </w:rPr>
        <w:t>djelomično je provedeno osam naloga i preporuka ili 17,8 %</w:t>
      </w:r>
      <w:r w:rsidR="00483909">
        <w:rPr>
          <w:b/>
        </w:rPr>
        <w:t>;</w:t>
      </w:r>
      <w:r w:rsidR="000B396B">
        <w:t xml:space="preserve"> </w:t>
      </w:r>
      <w:r w:rsidR="006E26D9" w:rsidRPr="00266978">
        <w:rPr>
          <w:b/>
        </w:rPr>
        <w:t>nije provedeno 18 naloga i preporuka ili 40,0 %, a</w:t>
      </w:r>
      <w:r w:rsidR="000B396B" w:rsidRPr="00266978">
        <w:rPr>
          <w:b/>
        </w:rPr>
        <w:t xml:space="preserve"> </w:t>
      </w:r>
      <w:r w:rsidR="006E26D9" w:rsidRPr="00266978">
        <w:rPr>
          <w:b/>
        </w:rPr>
        <w:t xml:space="preserve">tri naloga i </w:t>
      </w:r>
      <w:r w:rsidR="002B4CE5">
        <w:rPr>
          <w:b/>
        </w:rPr>
        <w:t>preporuke</w:t>
      </w:r>
      <w:r w:rsidR="006E26D9" w:rsidRPr="00266978">
        <w:rPr>
          <w:b/>
        </w:rPr>
        <w:t xml:space="preserve"> ili 6,7 % nije primjenjivo</w:t>
      </w:r>
      <w:r w:rsidR="006E26D9">
        <w:t xml:space="preserve"> (trgovačka društva nisu imala aktivnosti za koje su u financijskoj reviziji dani nalozi i preporuke).</w:t>
      </w:r>
    </w:p>
    <w:p w:rsidR="007E1E1F" w:rsidRDefault="007E1E1F" w:rsidP="006970C5">
      <w:pPr>
        <w:ind w:firstLine="708"/>
      </w:pPr>
    </w:p>
    <w:p w:rsidR="00235D6B" w:rsidRDefault="00235D6B" w:rsidP="006970C5">
      <w:pPr>
        <w:ind w:firstLine="708"/>
      </w:pPr>
    </w:p>
    <w:p w:rsidR="00266978" w:rsidRDefault="006E26D9" w:rsidP="006970C5">
      <w:pPr>
        <w:rPr>
          <w:b/>
        </w:rPr>
      </w:pPr>
      <w:r>
        <w:t>Provedba naloga i preporuka pridonijela je realnijem iskazivanju podataka u poslovnim knjigama i financijskim izvještajima trgovačkih društava te većoj usklađenosti poslovanja sa zakonima, drugim propisima i unutarnjim aktima, i to u području sustava unutarnjih kontrola, planiranja, računovodstvenog poslovanja, prihoda i naplate potraživanja, rashoda i obveza te javne nabave.</w:t>
      </w:r>
      <w:r w:rsidR="00B7449E">
        <w:t xml:space="preserve"> </w:t>
      </w:r>
      <w:r w:rsidR="00B7449E" w:rsidRPr="00B7449E">
        <w:rPr>
          <w:b/>
        </w:rPr>
        <w:t>Trgovačka društva</w:t>
      </w:r>
      <w:r w:rsidR="00B7449E">
        <w:t xml:space="preserve"> </w:t>
      </w:r>
      <w:r w:rsidR="00B7449E">
        <w:rPr>
          <w:b/>
        </w:rPr>
        <w:t>su</w:t>
      </w:r>
      <w:r w:rsidR="00B7449E" w:rsidRPr="000B396B">
        <w:rPr>
          <w:b/>
        </w:rPr>
        <w:t xml:space="preserve"> i nadalje u obvezi postupati prema nalozima i preporukama koji nisu provedeni ili nisu u cijelosti provedeni</w:t>
      </w:r>
      <w:r w:rsidR="00A93C38">
        <w:rPr>
          <w:b/>
        </w:rPr>
        <w:t>.</w:t>
      </w:r>
    </w:p>
    <w:p w:rsidR="006E26D9" w:rsidRDefault="006E26D9" w:rsidP="006970C5">
      <w:pPr>
        <w:pBdr>
          <w:bottom w:val="single" w:sz="4" w:space="1" w:color="auto"/>
        </w:pBdr>
      </w:pPr>
    </w:p>
    <w:p w:rsidR="000B396B" w:rsidRDefault="000B396B" w:rsidP="006970C5">
      <w:pPr>
        <w:ind w:firstLine="708"/>
        <w:rPr>
          <w:b/>
        </w:rPr>
      </w:pPr>
    </w:p>
    <w:p w:rsidR="00827C71" w:rsidRDefault="00827C71" w:rsidP="006970C5">
      <w:pPr>
        <w:tabs>
          <w:tab w:val="left" w:pos="567"/>
        </w:tabs>
        <w:rPr>
          <w:rFonts w:eastAsia="Calibri"/>
          <w:szCs w:val="22"/>
          <w:lang w:eastAsia="en-US"/>
        </w:rPr>
      </w:pPr>
      <w:r>
        <w:t>Obavljena je i provjera provedbe naloga i pr</w:t>
      </w:r>
      <w:r w:rsidR="00994A90">
        <w:t>eporuka</w:t>
      </w:r>
      <w:r>
        <w:rPr>
          <w:b/>
        </w:rPr>
        <w:t xml:space="preserve"> </w:t>
      </w:r>
      <w:r w:rsidRPr="00827C71">
        <w:rPr>
          <w:rFonts w:eastAsia="Calibri"/>
          <w:b/>
          <w:szCs w:val="22"/>
          <w:lang w:eastAsia="en-US"/>
        </w:rPr>
        <w:t>Hrvatske agencij</w:t>
      </w:r>
      <w:r>
        <w:rPr>
          <w:rFonts w:eastAsia="Calibri"/>
          <w:b/>
          <w:szCs w:val="22"/>
          <w:lang w:eastAsia="en-US"/>
        </w:rPr>
        <w:t>e</w:t>
      </w:r>
      <w:r w:rsidRPr="00827C71">
        <w:rPr>
          <w:rFonts w:eastAsia="Calibri"/>
          <w:b/>
          <w:szCs w:val="22"/>
          <w:lang w:eastAsia="en-US"/>
        </w:rPr>
        <w:t xml:space="preserve"> za nadzor financijskih usluga</w:t>
      </w:r>
      <w:r>
        <w:rPr>
          <w:rFonts w:eastAsia="Calibri"/>
          <w:szCs w:val="22"/>
          <w:lang w:eastAsia="en-US"/>
        </w:rPr>
        <w:t xml:space="preserve"> te je utvrđeno da je Agencija provela svih šest naloga i preporuka danih u financijskoj reviziji za 2021.</w:t>
      </w:r>
    </w:p>
    <w:p w:rsidR="00235D6B" w:rsidRDefault="00235D6B" w:rsidP="006970C5">
      <w:pPr>
        <w:tabs>
          <w:tab w:val="left" w:pos="567"/>
        </w:tabs>
        <w:rPr>
          <w:rFonts w:eastAsia="Calibri"/>
          <w:szCs w:val="22"/>
          <w:lang w:eastAsia="en-US"/>
        </w:rPr>
      </w:pPr>
    </w:p>
    <w:p w:rsidR="00235D6B" w:rsidRDefault="00235D6B" w:rsidP="006970C5">
      <w:pPr>
        <w:tabs>
          <w:tab w:val="left" w:pos="567"/>
        </w:tabs>
        <w:rPr>
          <w:rFonts w:eastAsia="Calibri"/>
          <w:szCs w:val="22"/>
          <w:lang w:eastAsia="en-US"/>
        </w:rPr>
      </w:pPr>
    </w:p>
    <w:p w:rsidR="00765DD1" w:rsidRDefault="00765DD1" w:rsidP="006970C5">
      <w:pPr>
        <w:shd w:val="clear" w:color="auto" w:fill="DBE5F1" w:themeFill="accent1" w:themeFillTint="33"/>
        <w:tabs>
          <w:tab w:val="left" w:pos="0"/>
          <w:tab w:val="left" w:pos="567"/>
        </w:tabs>
        <w:jc w:val="left"/>
        <w:rPr>
          <w:rFonts w:cs="Arial"/>
          <w:b/>
        </w:rPr>
      </w:pPr>
      <w:r w:rsidRPr="00765DD1">
        <w:rPr>
          <w:rFonts w:cs="Arial"/>
          <w:b/>
        </w:rPr>
        <w:t>PROVJERA PROVEDBE NALOGA</w:t>
      </w:r>
      <w:r>
        <w:rPr>
          <w:rFonts w:cs="Arial"/>
          <w:b/>
        </w:rPr>
        <w:t xml:space="preserve"> I PREPORUKA DANIH U REVIZIJAMA UČINKOVITOSTI</w:t>
      </w:r>
    </w:p>
    <w:p w:rsidR="00AF3BF7" w:rsidRPr="00CF3CC2" w:rsidRDefault="00AF3BF7" w:rsidP="006970C5">
      <w:pPr>
        <w:pStyle w:val="Odlomakpopisa"/>
        <w:tabs>
          <w:tab w:val="left" w:pos="0"/>
          <w:tab w:val="left" w:pos="567"/>
        </w:tabs>
        <w:spacing w:line="240" w:lineRule="auto"/>
        <w:ind w:left="567"/>
        <w:rPr>
          <w:rFonts w:ascii="Arial" w:hAnsi="Arial" w:cs="Arial"/>
          <w:b/>
          <w:sz w:val="24"/>
          <w:szCs w:val="24"/>
        </w:rPr>
      </w:pPr>
    </w:p>
    <w:p w:rsidR="00813404" w:rsidRPr="00B7449E" w:rsidRDefault="00AF3BF7" w:rsidP="006970C5">
      <w:pPr>
        <w:shd w:val="clear" w:color="auto" w:fill="DBE5F1" w:themeFill="accent1" w:themeFillTint="33"/>
        <w:tabs>
          <w:tab w:val="left" w:pos="0"/>
          <w:tab w:val="left" w:pos="567"/>
        </w:tabs>
        <w:rPr>
          <w:rFonts w:cs="Arial"/>
          <w:b/>
        </w:rPr>
      </w:pPr>
      <w:r w:rsidRPr="00B7449E">
        <w:rPr>
          <w:rFonts w:cs="Arial"/>
          <w:b/>
          <w:shd w:val="clear" w:color="auto" w:fill="DBE5F1" w:themeFill="accent1" w:themeFillTint="33"/>
        </w:rPr>
        <w:t>U</w:t>
      </w:r>
      <w:r w:rsidR="00813404" w:rsidRPr="00B7449E">
        <w:rPr>
          <w:rFonts w:cs="Arial"/>
          <w:b/>
          <w:shd w:val="clear" w:color="auto" w:fill="DBE5F1" w:themeFill="accent1" w:themeFillTint="33"/>
        </w:rPr>
        <w:t>pravljanj</w:t>
      </w:r>
      <w:r w:rsidRPr="00B7449E">
        <w:rPr>
          <w:rFonts w:cs="Arial"/>
          <w:b/>
          <w:shd w:val="clear" w:color="auto" w:fill="DBE5F1" w:themeFill="accent1" w:themeFillTint="33"/>
        </w:rPr>
        <w:t>e</w:t>
      </w:r>
      <w:r w:rsidR="00813404" w:rsidRPr="00B7449E">
        <w:rPr>
          <w:rFonts w:cs="Arial"/>
          <w:b/>
          <w:shd w:val="clear" w:color="auto" w:fill="DBE5F1" w:themeFill="accent1" w:themeFillTint="33"/>
        </w:rPr>
        <w:t xml:space="preserve"> komunalnom infrastrukturom</w:t>
      </w:r>
      <w:r w:rsidR="00813404" w:rsidRPr="00B7449E">
        <w:rPr>
          <w:rFonts w:cs="Arial"/>
          <w:shd w:val="clear" w:color="auto" w:fill="DBE5F1" w:themeFill="accent1" w:themeFillTint="33"/>
        </w:rPr>
        <w:t xml:space="preserve"> </w:t>
      </w:r>
      <w:r w:rsidR="00813404" w:rsidRPr="00B7449E">
        <w:rPr>
          <w:rFonts w:cs="Arial"/>
          <w:b/>
          <w:shd w:val="clear" w:color="auto" w:fill="DBE5F1" w:themeFill="accent1" w:themeFillTint="33"/>
        </w:rPr>
        <w:t>u jedinicama lokalne samouprave</w:t>
      </w:r>
    </w:p>
    <w:p w:rsidR="00B7449E" w:rsidRDefault="00813404" w:rsidP="006970C5">
      <w:pPr>
        <w:tabs>
          <w:tab w:val="left" w:pos="284"/>
          <w:tab w:val="left" w:pos="567"/>
          <w:tab w:val="left" w:pos="851"/>
        </w:tabs>
        <w:rPr>
          <w:rFonts w:cs="Arial"/>
        </w:rPr>
      </w:pPr>
      <w:r w:rsidRPr="0054357A">
        <w:rPr>
          <w:rFonts w:cs="Arial"/>
        </w:rPr>
        <w:tab/>
      </w:r>
      <w:r w:rsidRPr="0054357A">
        <w:rPr>
          <w:rFonts w:cs="Arial"/>
        </w:rPr>
        <w:tab/>
      </w:r>
    </w:p>
    <w:p w:rsidR="00813404" w:rsidRPr="002670ED" w:rsidRDefault="00F30EB7" w:rsidP="006970C5">
      <w:pPr>
        <w:tabs>
          <w:tab w:val="left" w:pos="284"/>
          <w:tab w:val="left" w:pos="567"/>
          <w:tab w:val="left" w:pos="851"/>
        </w:tabs>
        <w:rPr>
          <w:rFonts w:cs="Arial"/>
        </w:rPr>
      </w:pPr>
      <w:r>
        <w:rPr>
          <w:rFonts w:cs="Arial"/>
        </w:rPr>
        <w:t>T</w:t>
      </w:r>
      <w:r w:rsidR="00813404" w:rsidRPr="002670ED">
        <w:rPr>
          <w:rFonts w:cs="Arial"/>
        </w:rPr>
        <w:t xml:space="preserve">ijekom 2020. i 2021. Ured je obavio </w:t>
      </w:r>
      <w:r w:rsidR="00813404" w:rsidRPr="002670ED">
        <w:rPr>
          <w:rFonts w:cs="Arial"/>
          <w:b/>
        </w:rPr>
        <w:t>reviziju učinkovitosti upravljanja komunalnom infrastrukturom u jedinicama lokalne samouprave u 2019. i 2020.</w:t>
      </w:r>
      <w:r w:rsidR="00A93C38">
        <w:rPr>
          <w:rFonts w:cs="Arial"/>
        </w:rPr>
        <w:t>,</w:t>
      </w:r>
      <w:r w:rsidR="00813404" w:rsidRPr="002670ED">
        <w:rPr>
          <w:rFonts w:cs="Arial"/>
          <w:b/>
        </w:rPr>
        <w:t xml:space="preserve"> </w:t>
      </w:r>
      <w:r w:rsidR="00305733">
        <w:rPr>
          <w:rFonts w:cs="Arial"/>
        </w:rPr>
        <w:t>kojom su bile</w:t>
      </w:r>
      <w:r w:rsidR="00813404" w:rsidRPr="002670ED">
        <w:rPr>
          <w:rFonts w:cs="Arial"/>
        </w:rPr>
        <w:t xml:space="preserve"> obuhvaćene jedinice lokalne samouprave na području 19 županija i Grad Zagreb, odnosno sveukupno </w:t>
      </w:r>
      <w:r w:rsidR="00813404" w:rsidRPr="002670ED">
        <w:rPr>
          <w:rFonts w:cs="Arial"/>
          <w:b/>
        </w:rPr>
        <w:t>537 jedinica lokalne samouprave</w:t>
      </w:r>
      <w:r w:rsidR="00813404" w:rsidRPr="002670ED">
        <w:rPr>
          <w:rFonts w:cs="Arial"/>
        </w:rPr>
        <w:t>. Jedinice lokalne samouprave na području Sisačko-moslavačk</w:t>
      </w:r>
      <w:r w:rsidR="00156F7B">
        <w:rPr>
          <w:rFonts w:cs="Arial"/>
        </w:rPr>
        <w:t>e županije nisu bile obuhvaćene</w:t>
      </w:r>
      <w:r w:rsidR="00813404" w:rsidRPr="002670ED">
        <w:rPr>
          <w:rFonts w:cs="Arial"/>
        </w:rPr>
        <w:t xml:space="preserve"> zbog elementarne nepogode (potresa) koja je proglašena na području ove županije. </w:t>
      </w:r>
    </w:p>
    <w:p w:rsidR="00F30EB7" w:rsidRDefault="00F30EB7" w:rsidP="006970C5">
      <w:pPr>
        <w:rPr>
          <w:rFonts w:cs="Arial"/>
        </w:rPr>
      </w:pPr>
    </w:p>
    <w:p w:rsidR="00813404" w:rsidRPr="002670ED" w:rsidRDefault="00813404" w:rsidP="006970C5">
      <w:pPr>
        <w:rPr>
          <w:rFonts w:cs="Arial"/>
        </w:rPr>
      </w:pPr>
      <w:r w:rsidRPr="002670ED">
        <w:rPr>
          <w:rFonts w:cs="Arial"/>
        </w:rPr>
        <w:t>Tijekom 2024. i 2025. Ured je obavio provjeru provedbe naloga i preporuka danih 537 jedinica lokalne samouprave</w:t>
      </w:r>
      <w:r w:rsidR="00965D0E">
        <w:rPr>
          <w:rFonts w:cs="Arial"/>
        </w:rPr>
        <w:t>, a p</w:t>
      </w:r>
      <w:r w:rsidRPr="002670ED">
        <w:rPr>
          <w:rFonts w:cs="Arial"/>
        </w:rPr>
        <w:t>rovjerom je utvrđeno da je</w:t>
      </w:r>
      <w:r w:rsidR="00A93C38">
        <w:rPr>
          <w:rFonts w:cs="Arial"/>
        </w:rPr>
        <w:t>,</w:t>
      </w:r>
      <w:r w:rsidRPr="002670ED">
        <w:rPr>
          <w:rFonts w:cs="Arial"/>
        </w:rPr>
        <w:t xml:space="preserve"> od </w:t>
      </w:r>
      <w:r w:rsidR="00A93C38">
        <w:rPr>
          <w:rFonts w:cs="Arial"/>
          <w:b/>
        </w:rPr>
        <w:t>7 023 naloga i preporuke,</w:t>
      </w:r>
      <w:r w:rsidRPr="002670ED">
        <w:rPr>
          <w:rFonts w:cs="Arial"/>
        </w:rPr>
        <w:t xml:space="preserve"> provedeno </w:t>
      </w:r>
      <w:r w:rsidRPr="002670ED">
        <w:rPr>
          <w:rFonts w:cs="Arial"/>
          <w:b/>
        </w:rPr>
        <w:t>70,6 %,</w:t>
      </w:r>
      <w:r w:rsidRPr="002670ED">
        <w:rPr>
          <w:rFonts w:cs="Arial"/>
        </w:rPr>
        <w:t xml:space="preserve"> </w:t>
      </w:r>
      <w:r w:rsidRPr="002670ED">
        <w:rPr>
          <w:rFonts w:cs="Arial"/>
          <w:b/>
        </w:rPr>
        <w:t>djelomično je provedeno 13,3 %,</w:t>
      </w:r>
      <w:r w:rsidRPr="002670ED">
        <w:rPr>
          <w:rFonts w:cs="Arial"/>
        </w:rPr>
        <w:t xml:space="preserve"> </w:t>
      </w:r>
      <w:r w:rsidRPr="002670ED">
        <w:rPr>
          <w:rFonts w:cs="Arial"/>
          <w:b/>
        </w:rPr>
        <w:t>u postupku provedbe je šest naloga i preporuka ili 0,1 %, a 1 104 naloga i preporuke ili 15,7 % nije provedeno.</w:t>
      </w:r>
      <w:r w:rsidRPr="002670ED">
        <w:rPr>
          <w:rFonts w:cs="Arial"/>
        </w:rPr>
        <w:t xml:space="preserve"> Utvrđeno je i da za 21 preporuku ili 0,3 % provedba preporuke nije primjenjiva (zbog promjene propisa ili izmijenjenih okolnosti).</w:t>
      </w:r>
    </w:p>
    <w:p w:rsidR="00813404" w:rsidRPr="002670ED" w:rsidRDefault="00813404" w:rsidP="006970C5">
      <w:pPr>
        <w:ind w:firstLine="567"/>
        <w:rPr>
          <w:rFonts w:cs="Arial"/>
        </w:rPr>
      </w:pPr>
    </w:p>
    <w:p w:rsidR="00813404" w:rsidRPr="002670ED" w:rsidRDefault="00813404" w:rsidP="006970C5">
      <w:pPr>
        <w:tabs>
          <w:tab w:val="left" w:pos="284"/>
          <w:tab w:val="left" w:pos="567"/>
          <w:tab w:val="left" w:pos="851"/>
        </w:tabs>
        <w:rPr>
          <w:rFonts w:cs="Arial"/>
        </w:rPr>
      </w:pPr>
      <w:r w:rsidRPr="002670ED">
        <w:rPr>
          <w:rFonts w:cs="Arial"/>
        </w:rPr>
        <w:t>Osim izvješća</w:t>
      </w:r>
      <w:r>
        <w:rPr>
          <w:rFonts w:cs="Arial"/>
        </w:rPr>
        <w:t xml:space="preserve"> po županijama</w:t>
      </w:r>
      <w:r w:rsidRPr="002670ED">
        <w:rPr>
          <w:rFonts w:cs="Arial"/>
        </w:rPr>
        <w:t xml:space="preserve">, </w:t>
      </w:r>
      <w:r>
        <w:rPr>
          <w:rFonts w:cs="Arial"/>
        </w:rPr>
        <w:t>u kojima su opisane</w:t>
      </w:r>
      <w:r w:rsidRPr="002670ED">
        <w:rPr>
          <w:rFonts w:cs="Arial"/>
        </w:rPr>
        <w:t xml:space="preserve"> provedene aktivnosti za svaku od 537 jedinica lokalne samouprave za koje je obavljena pr</w:t>
      </w:r>
      <w:r>
        <w:rPr>
          <w:rFonts w:cs="Arial"/>
        </w:rPr>
        <w:t>o</w:t>
      </w:r>
      <w:r w:rsidRPr="002670ED">
        <w:rPr>
          <w:rFonts w:cs="Arial"/>
        </w:rPr>
        <w:t>vjera</w:t>
      </w:r>
      <w:r>
        <w:rPr>
          <w:rFonts w:cs="Arial"/>
        </w:rPr>
        <w:t>,</w:t>
      </w:r>
      <w:r w:rsidR="00637DC5">
        <w:rPr>
          <w:rFonts w:cs="Arial"/>
        </w:rPr>
        <w:t xml:space="preserve"> Ured je sastavio i </w:t>
      </w:r>
      <w:r w:rsidR="00637DC5" w:rsidRPr="00637DC5">
        <w:rPr>
          <w:rFonts w:cs="Arial"/>
          <w:b/>
        </w:rPr>
        <w:t>O</w:t>
      </w:r>
      <w:r w:rsidRPr="00637DC5">
        <w:rPr>
          <w:rFonts w:cs="Arial"/>
          <w:b/>
        </w:rPr>
        <w:t>bjedinjeno izvješće</w:t>
      </w:r>
      <w:r w:rsidRPr="002670ED">
        <w:rPr>
          <w:rFonts w:cs="Arial"/>
        </w:rPr>
        <w:t>, u kojem su sažet</w:t>
      </w:r>
      <w:r>
        <w:rPr>
          <w:rFonts w:cs="Arial"/>
        </w:rPr>
        <w:t>i</w:t>
      </w:r>
      <w:r w:rsidRPr="002670ED">
        <w:rPr>
          <w:rFonts w:cs="Arial"/>
        </w:rPr>
        <w:t xml:space="preserve"> rezultati provedene provjere. </w:t>
      </w:r>
    </w:p>
    <w:p w:rsidR="00813404" w:rsidRPr="002670ED" w:rsidRDefault="00813404" w:rsidP="006970C5">
      <w:pPr>
        <w:ind w:firstLine="567"/>
        <w:rPr>
          <w:rFonts w:cs="Arial"/>
        </w:rPr>
      </w:pPr>
    </w:p>
    <w:p w:rsidR="00813404" w:rsidRPr="0024456C" w:rsidRDefault="00813404" w:rsidP="006970C5">
      <w:pPr>
        <w:rPr>
          <w:rFonts w:cs="Arial"/>
          <w:b/>
        </w:rPr>
      </w:pPr>
      <w:r w:rsidRPr="002670ED">
        <w:rPr>
          <w:rFonts w:cs="Arial"/>
        </w:rPr>
        <w:t xml:space="preserve">Provedba naloga i preporuka pridonijela </w:t>
      </w:r>
      <w:r w:rsidR="00D664EA">
        <w:rPr>
          <w:rFonts w:cs="Arial"/>
        </w:rPr>
        <w:t xml:space="preserve">je </w:t>
      </w:r>
      <w:r w:rsidRPr="002670ED">
        <w:rPr>
          <w:rFonts w:cs="Arial"/>
        </w:rPr>
        <w:t xml:space="preserve">boljem upravljanju komunalnom infrastrukturom te većoj usklađenosti poslovanja sa Zakonom o komunalnom gospodarstvu, drugim propisima i unutarnjim aktima. </w:t>
      </w:r>
      <w:r w:rsidRPr="0024456C">
        <w:rPr>
          <w:rFonts w:cs="Arial"/>
          <w:b/>
        </w:rPr>
        <w:t xml:space="preserve">Jedinice lokalne samouprave su i nadalje u obvezi postupati prema nalozima i preporukama koji nisu provedeni ili nisu u cijelosti provedeni.  </w:t>
      </w:r>
    </w:p>
    <w:p w:rsidR="00813404" w:rsidRPr="0054357A" w:rsidRDefault="00813404" w:rsidP="006970C5">
      <w:pPr>
        <w:pBdr>
          <w:bottom w:val="single" w:sz="4" w:space="1" w:color="auto"/>
        </w:pBdr>
        <w:ind w:firstLine="567"/>
        <w:rPr>
          <w:rFonts w:cs="Arial"/>
          <w:b/>
        </w:rPr>
      </w:pPr>
    </w:p>
    <w:p w:rsidR="00557BAA" w:rsidRPr="003241B5" w:rsidRDefault="00557BAA" w:rsidP="003241B5">
      <w:pPr>
        <w:widowControl/>
        <w:tabs>
          <w:tab w:val="left" w:pos="567"/>
        </w:tabs>
        <w:autoSpaceDE/>
        <w:autoSpaceDN/>
        <w:adjustRightInd/>
        <w:ind w:left="567" w:hanging="567"/>
        <w:contextualSpacing/>
        <w:rPr>
          <w:rFonts w:cs="Arial"/>
          <w:bCs/>
          <w:spacing w:val="3"/>
          <w:shd w:val="clear" w:color="auto" w:fill="FFFFFF"/>
        </w:rPr>
      </w:pPr>
      <w:r w:rsidRPr="003241B5">
        <w:rPr>
          <w:rFonts w:cs="Arial"/>
          <w:bCs/>
          <w:spacing w:val="3"/>
          <w:shd w:val="clear" w:color="auto" w:fill="FFFFFF"/>
        </w:rPr>
        <w:tab/>
      </w:r>
    </w:p>
    <w:p w:rsidR="003241B5" w:rsidRDefault="00640E58" w:rsidP="003241B5">
      <w:pPr>
        <w:widowControl/>
        <w:tabs>
          <w:tab w:val="left" w:pos="0"/>
        </w:tabs>
        <w:autoSpaceDE/>
        <w:autoSpaceDN/>
        <w:adjustRightInd/>
        <w:contextualSpacing/>
        <w:rPr>
          <w:rFonts w:cs="Arial"/>
          <w:bCs/>
          <w:spacing w:val="3"/>
          <w:shd w:val="clear" w:color="auto" w:fill="FFFFFF"/>
        </w:rPr>
      </w:pPr>
      <w:r w:rsidRPr="003241B5">
        <w:rPr>
          <w:rFonts w:cs="Arial"/>
          <w:bCs/>
          <w:spacing w:val="3"/>
          <w:shd w:val="clear" w:color="auto" w:fill="FFFFFF"/>
        </w:rPr>
        <w:t xml:space="preserve">Ured je provjerio i provedbu naloga i preporuka danih u </w:t>
      </w:r>
      <w:r w:rsidR="003241B5" w:rsidRPr="003241B5">
        <w:rPr>
          <w:rFonts w:cs="Arial"/>
          <w:bCs/>
          <w:spacing w:val="3"/>
          <w:shd w:val="clear" w:color="auto" w:fill="FFFFFF"/>
        </w:rPr>
        <w:t xml:space="preserve">sljedećim </w:t>
      </w:r>
      <w:r w:rsidRPr="003241B5">
        <w:rPr>
          <w:rFonts w:cs="Arial"/>
          <w:bCs/>
          <w:spacing w:val="3"/>
          <w:shd w:val="clear" w:color="auto" w:fill="FFFFFF"/>
        </w:rPr>
        <w:t>revizij</w:t>
      </w:r>
      <w:r w:rsidR="003241B5" w:rsidRPr="003241B5">
        <w:rPr>
          <w:rFonts w:cs="Arial"/>
          <w:bCs/>
          <w:spacing w:val="3"/>
          <w:shd w:val="clear" w:color="auto" w:fill="FFFFFF"/>
        </w:rPr>
        <w:t>ama</w:t>
      </w:r>
      <w:r w:rsidRPr="003241B5">
        <w:rPr>
          <w:rFonts w:cs="Arial"/>
          <w:bCs/>
          <w:spacing w:val="3"/>
          <w:shd w:val="clear" w:color="auto" w:fill="FFFFFF"/>
        </w:rPr>
        <w:t xml:space="preserve"> </w:t>
      </w:r>
      <w:r w:rsidR="003241B5" w:rsidRPr="003241B5">
        <w:rPr>
          <w:rFonts w:cs="Arial"/>
          <w:bCs/>
          <w:spacing w:val="3"/>
          <w:shd w:val="clear" w:color="auto" w:fill="FFFFFF"/>
        </w:rPr>
        <w:t>učinkovitosti:</w:t>
      </w:r>
    </w:p>
    <w:p w:rsidR="001041E0" w:rsidRPr="003241B5" w:rsidRDefault="001041E0" w:rsidP="001041E0">
      <w:pPr>
        <w:widowControl/>
        <w:tabs>
          <w:tab w:val="left" w:pos="0"/>
        </w:tabs>
        <w:autoSpaceDE/>
        <w:autoSpaceDN/>
        <w:adjustRightInd/>
        <w:contextualSpacing/>
        <w:rPr>
          <w:rFonts w:cs="Arial"/>
          <w:bCs/>
          <w:spacing w:val="3"/>
          <w:shd w:val="clear" w:color="auto" w:fill="FFFFFF"/>
        </w:rPr>
      </w:pPr>
    </w:p>
    <w:p w:rsidR="003241B5" w:rsidRPr="003241B5" w:rsidRDefault="00557BAA" w:rsidP="001041E0">
      <w:pPr>
        <w:pStyle w:val="Odlomakpopisa"/>
        <w:numPr>
          <w:ilvl w:val="0"/>
          <w:numId w:val="22"/>
        </w:numPr>
        <w:tabs>
          <w:tab w:val="left" w:pos="0"/>
        </w:tabs>
        <w:spacing w:line="240" w:lineRule="auto"/>
        <w:ind w:left="567" w:hanging="567"/>
        <w:jc w:val="both"/>
        <w:rPr>
          <w:rFonts w:cs="Arial"/>
          <w:bCs/>
          <w:spacing w:val="3"/>
          <w:shd w:val="clear" w:color="auto" w:fill="FFFFFF"/>
        </w:rPr>
      </w:pPr>
      <w:r w:rsidRPr="003241B5">
        <w:rPr>
          <w:rFonts w:ascii="Arial" w:hAnsi="Arial" w:cs="Arial"/>
          <w:b/>
          <w:bCs/>
          <w:spacing w:val="3"/>
          <w:sz w:val="24"/>
          <w:szCs w:val="24"/>
          <w:shd w:val="clear" w:color="auto" w:fill="FFFFFF"/>
        </w:rPr>
        <w:t>Provedba ugovora o koncesiji za financiranje, građenje te gospodarsko korištenje i održavanje autoceste Zagreb-Macelj i njenih pratećih objekata na cestovnom zemljištu</w:t>
      </w:r>
    </w:p>
    <w:p w:rsidR="003241B5" w:rsidRPr="003241B5" w:rsidRDefault="00557BAA" w:rsidP="001041E0">
      <w:pPr>
        <w:pStyle w:val="Odlomakpopisa"/>
        <w:numPr>
          <w:ilvl w:val="0"/>
          <w:numId w:val="22"/>
        </w:numPr>
        <w:tabs>
          <w:tab w:val="left" w:pos="0"/>
        </w:tabs>
        <w:spacing w:line="240" w:lineRule="auto"/>
        <w:ind w:left="567" w:hanging="567"/>
        <w:jc w:val="both"/>
        <w:rPr>
          <w:rFonts w:ascii="Arial" w:hAnsi="Arial" w:cs="Arial"/>
          <w:b/>
          <w:bCs/>
          <w:spacing w:val="3"/>
          <w:sz w:val="24"/>
          <w:szCs w:val="24"/>
          <w:shd w:val="clear" w:color="auto" w:fill="FFFFFF"/>
        </w:rPr>
      </w:pPr>
      <w:r w:rsidRPr="003241B5">
        <w:rPr>
          <w:rFonts w:ascii="Arial" w:hAnsi="Arial" w:cs="Arial"/>
          <w:b/>
          <w:bCs/>
          <w:spacing w:val="3"/>
          <w:sz w:val="24"/>
          <w:szCs w:val="24"/>
          <w:shd w:val="clear" w:color="auto" w:fill="FFFFFF"/>
        </w:rPr>
        <w:lastRenderedPageBreak/>
        <w:t>Provedba ugovora o koncesiji za financiranje, izgradnju, održavanje i upravljanje Jadranskom autocestom (Istarski ipsilon)</w:t>
      </w:r>
      <w:r w:rsidR="003241B5" w:rsidRPr="003241B5">
        <w:rPr>
          <w:rFonts w:ascii="Arial" w:hAnsi="Arial" w:cs="Arial"/>
          <w:b/>
          <w:bCs/>
          <w:spacing w:val="3"/>
          <w:sz w:val="24"/>
          <w:szCs w:val="24"/>
          <w:shd w:val="clear" w:color="auto" w:fill="FFFFFF"/>
        </w:rPr>
        <w:t xml:space="preserve"> </w:t>
      </w:r>
    </w:p>
    <w:p w:rsidR="00557BAA" w:rsidRPr="003241B5" w:rsidRDefault="00557BAA" w:rsidP="001041E0">
      <w:pPr>
        <w:pStyle w:val="Odlomakpopisa"/>
        <w:numPr>
          <w:ilvl w:val="0"/>
          <w:numId w:val="22"/>
        </w:numPr>
        <w:tabs>
          <w:tab w:val="left" w:pos="0"/>
        </w:tabs>
        <w:spacing w:line="240" w:lineRule="auto"/>
        <w:ind w:left="567" w:hanging="567"/>
        <w:jc w:val="both"/>
        <w:rPr>
          <w:rFonts w:ascii="Arial" w:hAnsi="Arial" w:cs="Arial"/>
          <w:b/>
          <w:bCs/>
          <w:spacing w:val="3"/>
          <w:sz w:val="24"/>
          <w:szCs w:val="24"/>
          <w:shd w:val="clear" w:color="auto" w:fill="FFFFFF"/>
        </w:rPr>
      </w:pPr>
      <w:r w:rsidRPr="003241B5">
        <w:rPr>
          <w:rFonts w:ascii="Arial" w:hAnsi="Arial" w:cs="Arial"/>
          <w:b/>
          <w:bCs/>
          <w:spacing w:val="3"/>
          <w:sz w:val="24"/>
          <w:szCs w:val="24"/>
          <w:shd w:val="clear" w:color="auto" w:fill="FFFFFF"/>
        </w:rPr>
        <w:t>Upravljanje intervencijama kod iznenadnih onečišćenja u Jadranskom moru</w:t>
      </w:r>
      <w:r w:rsidR="003241B5">
        <w:rPr>
          <w:rFonts w:ascii="Arial" w:hAnsi="Arial" w:cs="Arial"/>
          <w:b/>
          <w:bCs/>
          <w:spacing w:val="3"/>
          <w:sz w:val="24"/>
          <w:szCs w:val="24"/>
          <w:shd w:val="clear" w:color="auto" w:fill="FFFFFF"/>
        </w:rPr>
        <w:t>.</w:t>
      </w:r>
      <w:r w:rsidR="003241B5" w:rsidRPr="003241B5">
        <w:rPr>
          <w:rFonts w:ascii="Arial" w:hAnsi="Arial" w:cs="Arial"/>
          <w:b/>
          <w:bCs/>
          <w:spacing w:val="3"/>
          <w:sz w:val="24"/>
          <w:szCs w:val="24"/>
          <w:shd w:val="clear" w:color="auto" w:fill="FFFFFF"/>
        </w:rPr>
        <w:t xml:space="preserve"> </w:t>
      </w:r>
    </w:p>
    <w:p w:rsidR="0024456C" w:rsidRDefault="00235D6B" w:rsidP="003241B5">
      <w:pPr>
        <w:rPr>
          <w:rFonts w:cs="Arial"/>
        </w:rPr>
      </w:pPr>
      <w:r>
        <w:rPr>
          <w:rFonts w:cs="Arial"/>
        </w:rPr>
        <w:t>Više pojedinosti o obavljenim provjerama provedbe</w:t>
      </w:r>
      <w:r w:rsidR="003241B5">
        <w:rPr>
          <w:rFonts w:cs="Arial"/>
        </w:rPr>
        <w:t xml:space="preserve"> navedeno je u izvješćima objavljenim na mrežnim stranicama Ureda. </w:t>
      </w:r>
    </w:p>
    <w:p w:rsidR="003241B5" w:rsidRDefault="003241B5" w:rsidP="006970C5">
      <w:pPr>
        <w:ind w:left="567" w:hanging="567"/>
        <w:rPr>
          <w:rFonts w:cs="Arial"/>
        </w:rPr>
      </w:pPr>
    </w:p>
    <w:p w:rsidR="00ED0AE0" w:rsidRPr="00310690" w:rsidRDefault="002056DE" w:rsidP="006970C5">
      <w:pPr>
        <w:tabs>
          <w:tab w:val="left" w:pos="284"/>
          <w:tab w:val="left" w:pos="567"/>
          <w:tab w:val="left" w:pos="851"/>
        </w:tabs>
        <w:ind w:firstLine="567"/>
        <w:rPr>
          <w:rFonts w:cs="Arial"/>
        </w:rPr>
      </w:pP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rPr>
        <w:tab/>
      </w:r>
      <w:r w:rsidRPr="00310690">
        <w:rPr>
          <w:rFonts w:cs="Arial"/>
        </w:rPr>
        <w:tab/>
      </w:r>
    </w:p>
    <w:p w:rsidR="00951A71" w:rsidRPr="00310690" w:rsidRDefault="00F45A2C" w:rsidP="006970C5">
      <w:pPr>
        <w:tabs>
          <w:tab w:val="left" w:pos="567"/>
        </w:tabs>
        <w:rPr>
          <w:rFonts w:cs="Arial"/>
        </w:rPr>
      </w:pPr>
      <w:r w:rsidRPr="00310690">
        <w:rPr>
          <w:rFonts w:cs="Arial"/>
        </w:rPr>
        <w:t xml:space="preserve">Osoba za kontakt: </w:t>
      </w:r>
      <w:r w:rsidR="001B778F" w:rsidRPr="00310690">
        <w:rPr>
          <w:rFonts w:cs="Arial"/>
        </w:rPr>
        <w:t>Josipa Maraković</w:t>
      </w:r>
      <w:r w:rsidR="00536163" w:rsidRPr="00310690">
        <w:rPr>
          <w:rFonts w:cs="Arial"/>
        </w:rPr>
        <w:t xml:space="preserve">, </w:t>
      </w:r>
      <w:r w:rsidR="00BD5187">
        <w:rPr>
          <w:rFonts w:cs="Arial"/>
        </w:rPr>
        <w:t>pomoćnica glavnog</w:t>
      </w:r>
      <w:r w:rsidR="00780FF5">
        <w:rPr>
          <w:rFonts w:cs="Arial"/>
        </w:rPr>
        <w:t>a</w:t>
      </w:r>
      <w:r w:rsidR="00BD5187">
        <w:rPr>
          <w:rFonts w:cs="Arial"/>
        </w:rPr>
        <w:t xml:space="preserve"> državnog revizora za odnose s javnošću, </w:t>
      </w:r>
      <w:r w:rsidR="00A93C38">
        <w:rPr>
          <w:rFonts w:cs="Arial"/>
        </w:rPr>
        <w:t>e-adresa</w:t>
      </w:r>
      <w:r w:rsidR="00536163" w:rsidRPr="00310690">
        <w:rPr>
          <w:rFonts w:cs="Arial"/>
        </w:rPr>
        <w:t xml:space="preserve">: </w:t>
      </w:r>
      <w:hyperlink r:id="rId10" w:history="1">
        <w:r w:rsidR="001B778F" w:rsidRPr="00310690">
          <w:rPr>
            <w:rStyle w:val="Hiperveza"/>
            <w:rFonts w:cs="Arial"/>
          </w:rPr>
          <w:t>josipa.marakovic@revizija.hr</w:t>
        </w:r>
      </w:hyperlink>
      <w:r w:rsidR="00F30EB7">
        <w:rPr>
          <w:rFonts w:cs="Arial"/>
        </w:rPr>
        <w:t>,</w:t>
      </w:r>
      <w:r w:rsidR="004D5054" w:rsidRPr="00310690">
        <w:rPr>
          <w:rFonts w:cs="Arial"/>
        </w:rPr>
        <w:t xml:space="preserve"> </w:t>
      </w:r>
      <w:r w:rsidR="00EE1E71" w:rsidRPr="00310690">
        <w:rPr>
          <w:rFonts w:cs="Arial"/>
        </w:rPr>
        <w:t>mob</w:t>
      </w:r>
      <w:r w:rsidR="00F30EB7">
        <w:rPr>
          <w:rFonts w:cs="Arial"/>
        </w:rPr>
        <w:t>.:</w:t>
      </w:r>
      <w:r w:rsidR="00B928D7" w:rsidRPr="00310690">
        <w:rPr>
          <w:rFonts w:cs="Arial"/>
        </w:rPr>
        <w:t xml:space="preserve"> 09</w:t>
      </w:r>
      <w:r w:rsidR="001B778F" w:rsidRPr="00310690">
        <w:rPr>
          <w:rFonts w:cs="Arial"/>
        </w:rPr>
        <w:t>5 67 02 594</w:t>
      </w:r>
      <w:r w:rsidR="00536163" w:rsidRPr="00310690">
        <w:rPr>
          <w:rFonts w:cs="Arial"/>
        </w:rPr>
        <w:t>.</w:t>
      </w:r>
    </w:p>
    <w:p w:rsidR="00B928D7" w:rsidRPr="00310690" w:rsidRDefault="00B928D7" w:rsidP="006970C5">
      <w:pPr>
        <w:jc w:val="left"/>
        <w:rPr>
          <w:rFonts w:cs="Arial"/>
        </w:rPr>
      </w:pPr>
    </w:p>
    <w:p w:rsidR="00B928D7" w:rsidRPr="00310690" w:rsidRDefault="00B928D7" w:rsidP="006970C5">
      <w:pPr>
        <w:jc w:val="left"/>
        <w:rPr>
          <w:rFonts w:cs="Arial"/>
        </w:rPr>
      </w:pPr>
    </w:p>
    <w:p w:rsidR="00BD5187" w:rsidRDefault="00E14BF8" w:rsidP="006970C5">
      <w:pPr>
        <w:rPr>
          <w:rFonts w:cs="Arial"/>
        </w:rPr>
      </w:pPr>
      <w:r w:rsidRPr="00310690">
        <w:rPr>
          <w:rFonts w:cs="Arial"/>
        </w:rPr>
        <w:tab/>
      </w:r>
      <w:r w:rsidRPr="00310690">
        <w:rPr>
          <w:rFonts w:cs="Arial"/>
        </w:rPr>
        <w:tab/>
      </w:r>
      <w:r w:rsidRPr="00310690">
        <w:rPr>
          <w:rFonts w:cs="Arial"/>
        </w:rPr>
        <w:tab/>
      </w:r>
      <w:r w:rsidRPr="00310690">
        <w:rPr>
          <w:rFonts w:cs="Arial"/>
        </w:rPr>
        <w:tab/>
      </w:r>
      <w:r w:rsidRPr="00310690">
        <w:rPr>
          <w:rFonts w:cs="Arial"/>
        </w:rPr>
        <w:tab/>
      </w:r>
      <w:r w:rsidR="00BD5187">
        <w:rPr>
          <w:rFonts w:cs="Arial"/>
        </w:rPr>
        <w:t>POMOĆNICA GLAVNOGA DRŽAVNOG REVIZORA</w:t>
      </w:r>
    </w:p>
    <w:p w:rsidR="000F76D6" w:rsidRPr="00310690" w:rsidRDefault="00BD5187" w:rsidP="006970C5">
      <w:pPr>
        <w:ind w:left="3545" w:firstLine="709"/>
        <w:rPr>
          <w:rFonts w:cs="Arial"/>
        </w:rPr>
      </w:pPr>
      <w:r>
        <w:rPr>
          <w:rFonts w:cs="Arial"/>
        </w:rPr>
        <w:t xml:space="preserve">       </w:t>
      </w:r>
      <w:r w:rsidR="000F76D6" w:rsidRPr="00310690">
        <w:rPr>
          <w:rFonts w:cs="Arial"/>
        </w:rPr>
        <w:t>ZA ODNOSE S JAVNOŠĆU</w:t>
      </w:r>
    </w:p>
    <w:p w:rsidR="000F76D6" w:rsidRPr="00310690" w:rsidRDefault="000F76D6" w:rsidP="006970C5">
      <w:pPr>
        <w:rPr>
          <w:rFonts w:cs="Arial"/>
        </w:rPr>
      </w:pPr>
      <w:r w:rsidRPr="00310690">
        <w:rPr>
          <w:rFonts w:cs="Arial"/>
        </w:rPr>
        <w:tab/>
      </w:r>
      <w:r w:rsidRPr="00310690">
        <w:rPr>
          <w:rFonts w:cs="Arial"/>
        </w:rPr>
        <w:tab/>
      </w:r>
      <w:r w:rsidRPr="00310690">
        <w:rPr>
          <w:rFonts w:cs="Arial"/>
        </w:rPr>
        <w:tab/>
      </w:r>
      <w:r w:rsidRPr="00310690">
        <w:rPr>
          <w:rFonts w:cs="Arial"/>
        </w:rPr>
        <w:tab/>
      </w:r>
      <w:r w:rsidRPr="00310690">
        <w:rPr>
          <w:rFonts w:cs="Arial"/>
        </w:rPr>
        <w:tab/>
      </w:r>
      <w:r w:rsidRPr="00310690">
        <w:rPr>
          <w:rFonts w:cs="Arial"/>
        </w:rPr>
        <w:tab/>
      </w:r>
    </w:p>
    <w:p w:rsidR="000F76D6" w:rsidRPr="00310690" w:rsidRDefault="000F76D6" w:rsidP="006970C5">
      <w:pPr>
        <w:rPr>
          <w:rFonts w:cs="Arial"/>
        </w:rPr>
      </w:pPr>
      <w:r w:rsidRPr="00310690">
        <w:rPr>
          <w:rFonts w:cs="Arial"/>
        </w:rPr>
        <w:t xml:space="preserve">  </w:t>
      </w:r>
    </w:p>
    <w:p w:rsidR="000F76D6" w:rsidRPr="00310690" w:rsidRDefault="00896EB7" w:rsidP="006970C5">
      <w:pPr>
        <w:rPr>
          <w:rFonts w:cs="Arial"/>
        </w:rPr>
      </w:pPr>
      <w:r>
        <w:rPr>
          <w:rFonts w:cs="Arial"/>
        </w:rPr>
        <w:tab/>
      </w:r>
      <w:r>
        <w:rPr>
          <w:rFonts w:cs="Arial"/>
        </w:rPr>
        <w:tab/>
      </w:r>
      <w:r>
        <w:rPr>
          <w:rFonts w:cs="Arial"/>
        </w:rPr>
        <w:tab/>
      </w:r>
      <w:r>
        <w:rPr>
          <w:rFonts w:cs="Arial"/>
        </w:rPr>
        <w:tab/>
      </w:r>
      <w:r w:rsidR="003D6928">
        <w:rPr>
          <w:rFonts w:cs="Arial"/>
        </w:rPr>
        <w:t xml:space="preserve">        </w:t>
      </w:r>
      <w:r w:rsidR="00455E0A">
        <w:rPr>
          <w:rFonts w:cs="Arial"/>
        </w:rPr>
        <w:t xml:space="preserve"> </w:t>
      </w:r>
      <w:r w:rsidR="00BD5187">
        <w:rPr>
          <w:rFonts w:cs="Arial"/>
        </w:rPr>
        <w:t xml:space="preserve"> </w:t>
      </w:r>
      <w:r>
        <w:rPr>
          <w:rFonts w:cs="Arial"/>
        </w:rPr>
        <w:t>J</w:t>
      </w:r>
      <w:r w:rsidR="000F76D6" w:rsidRPr="00310690">
        <w:rPr>
          <w:rFonts w:cs="Arial"/>
        </w:rPr>
        <w:t>osipa Maraković, dipl. oec</w:t>
      </w:r>
      <w:r>
        <w:rPr>
          <w:rFonts w:cs="Arial"/>
        </w:rPr>
        <w:t xml:space="preserve">., univ. spec. rel. </w:t>
      </w:r>
      <w:proofErr w:type="spellStart"/>
      <w:r>
        <w:rPr>
          <w:rFonts w:cs="Arial"/>
        </w:rPr>
        <w:t>publ</w:t>
      </w:r>
      <w:proofErr w:type="spellEnd"/>
      <w:r w:rsidR="00455E0A">
        <w:rPr>
          <w:rFonts w:cs="Arial"/>
        </w:rPr>
        <w:t xml:space="preserve">., v. r. </w:t>
      </w:r>
      <w:r w:rsidR="003D6928">
        <w:rPr>
          <w:rFonts w:cs="Arial"/>
        </w:rPr>
        <w:t xml:space="preserve"> </w:t>
      </w: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235D6B" w:rsidRDefault="00235D6B" w:rsidP="003241B5">
      <w:pPr>
        <w:jc w:val="left"/>
        <w:rPr>
          <w:rFonts w:cs="Arial"/>
        </w:rPr>
      </w:pPr>
    </w:p>
    <w:p w:rsidR="005557B1" w:rsidRDefault="005557B1" w:rsidP="003241B5">
      <w:pPr>
        <w:jc w:val="left"/>
        <w:rPr>
          <w:rFonts w:cs="Arial"/>
        </w:rPr>
      </w:pPr>
      <w:r>
        <w:rPr>
          <w:rFonts w:cs="Arial"/>
        </w:rPr>
        <w:t>Privitak: Izražena m</w:t>
      </w:r>
      <w:r w:rsidR="00B22537" w:rsidRPr="00837DF7">
        <w:rPr>
          <w:rFonts w:cs="Arial"/>
        </w:rPr>
        <w:t xml:space="preserve">išljenja u izvješćima o obavljenoj </w:t>
      </w:r>
      <w:r w:rsidR="00F80DC6">
        <w:rPr>
          <w:rFonts w:cs="Arial"/>
        </w:rPr>
        <w:t xml:space="preserve">financijskoj </w:t>
      </w:r>
      <w:r w:rsidR="00B22537" w:rsidRPr="00837DF7">
        <w:rPr>
          <w:rFonts w:cs="Arial"/>
        </w:rPr>
        <w:t xml:space="preserve">reviziji </w:t>
      </w:r>
    </w:p>
    <w:p w:rsidR="00B22537" w:rsidRDefault="006520C8" w:rsidP="003241B5">
      <w:pPr>
        <w:jc w:val="left"/>
        <w:rPr>
          <w:rFonts w:cs="Arial"/>
          <w:i/>
        </w:rPr>
      </w:pPr>
      <w:r>
        <w:rPr>
          <w:rFonts w:cs="Arial"/>
        </w:rPr>
        <w:t>(</w:t>
      </w:r>
      <w:r w:rsidR="009D182C">
        <w:rPr>
          <w:rFonts w:cs="Arial"/>
          <w:i/>
        </w:rPr>
        <w:t>mišlje</w:t>
      </w:r>
      <w:r w:rsidR="005557B1">
        <w:rPr>
          <w:rFonts w:cs="Arial"/>
          <w:i/>
        </w:rPr>
        <w:t>nje može biti</w:t>
      </w:r>
      <w:r w:rsidR="00FD4C2C">
        <w:rPr>
          <w:rFonts w:cs="Arial"/>
          <w:i/>
        </w:rPr>
        <w:t>:</w:t>
      </w:r>
      <w:r w:rsidR="009D182C">
        <w:rPr>
          <w:rFonts w:cs="Arial"/>
          <w:i/>
        </w:rPr>
        <w:t xml:space="preserve"> bezuvjetno,</w:t>
      </w:r>
      <w:r w:rsidR="00B22537" w:rsidRPr="00837DF7">
        <w:rPr>
          <w:rFonts w:cs="Arial"/>
          <w:i/>
        </w:rPr>
        <w:t xml:space="preserve"> </w:t>
      </w:r>
      <w:r w:rsidR="009D182C">
        <w:rPr>
          <w:rFonts w:cs="Arial"/>
          <w:i/>
        </w:rPr>
        <w:t>uvjetno, suzdržano,</w:t>
      </w:r>
      <w:r w:rsidR="00B22537" w:rsidRPr="00837DF7">
        <w:rPr>
          <w:rFonts w:cs="Arial"/>
          <w:i/>
        </w:rPr>
        <w:t xml:space="preserve"> nepovoljno)</w:t>
      </w:r>
    </w:p>
    <w:p w:rsidR="00FD4C2C" w:rsidRDefault="00FD4C2C" w:rsidP="003241B5">
      <w:pPr>
        <w:jc w:val="left"/>
        <w:rPr>
          <w:rFonts w:cs="Arial"/>
          <w:i/>
        </w:rPr>
      </w:pPr>
    </w:p>
    <w:tbl>
      <w:tblPr>
        <w:tblStyle w:val="Reetkatablice11"/>
        <w:tblW w:w="0" w:type="auto"/>
        <w:tblInd w:w="0" w:type="dxa"/>
        <w:tblLook w:val="04A0" w:firstRow="1" w:lastRow="0" w:firstColumn="1" w:lastColumn="0" w:noHBand="0" w:noVBand="1"/>
      </w:tblPr>
      <w:tblGrid>
        <w:gridCol w:w="966"/>
        <w:gridCol w:w="5002"/>
        <w:gridCol w:w="1857"/>
        <w:gridCol w:w="1803"/>
      </w:tblGrid>
      <w:tr w:rsidR="00DB6D4D" w:rsidRPr="002E2858" w:rsidTr="00C15108">
        <w:trPr>
          <w:trHeight w:val="320"/>
          <w:tblHeader/>
        </w:trPr>
        <w:tc>
          <w:tcPr>
            <w:tcW w:w="96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B6D4D" w:rsidRPr="002E2858" w:rsidRDefault="00DB6D4D" w:rsidP="006970C5">
            <w:pPr>
              <w:rPr>
                <w:rFonts w:cs="Arial"/>
                <w:sz w:val="22"/>
                <w:szCs w:val="22"/>
                <w:lang w:eastAsia="en-US"/>
              </w:rPr>
            </w:pPr>
            <w:r w:rsidRPr="002E2858">
              <w:rPr>
                <w:rFonts w:cs="Arial"/>
                <w:sz w:val="22"/>
                <w:szCs w:val="22"/>
                <w:lang w:eastAsia="en-US"/>
              </w:rPr>
              <w:t>Redni broj</w:t>
            </w:r>
          </w:p>
        </w:tc>
        <w:tc>
          <w:tcPr>
            <w:tcW w:w="500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B6D4D" w:rsidRPr="002E2858" w:rsidRDefault="00DB6D4D" w:rsidP="006970C5">
            <w:pPr>
              <w:rPr>
                <w:rFonts w:cs="Arial"/>
                <w:sz w:val="22"/>
                <w:szCs w:val="22"/>
                <w:lang w:eastAsia="en-US"/>
              </w:rPr>
            </w:pPr>
            <w:r w:rsidRPr="002E2858">
              <w:rPr>
                <w:rFonts w:cs="Arial"/>
                <w:sz w:val="22"/>
                <w:szCs w:val="22"/>
                <w:lang w:eastAsia="en-US"/>
              </w:rPr>
              <w:t>Naziv subjekta</w:t>
            </w:r>
            <w:r w:rsidR="006E26D9" w:rsidRPr="002E2858">
              <w:rPr>
                <w:rFonts w:cs="Arial"/>
                <w:sz w:val="22"/>
                <w:szCs w:val="22"/>
                <w:lang w:eastAsia="en-US"/>
              </w:rPr>
              <w:t xml:space="preserve"> revizije</w:t>
            </w:r>
          </w:p>
        </w:tc>
        <w:tc>
          <w:tcPr>
            <w:tcW w:w="36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B6D4D" w:rsidRPr="002E2858" w:rsidRDefault="00DB6D4D" w:rsidP="006970C5">
            <w:pPr>
              <w:jc w:val="center"/>
              <w:rPr>
                <w:rFonts w:cs="Arial"/>
                <w:sz w:val="22"/>
                <w:szCs w:val="22"/>
                <w:lang w:eastAsia="en-US"/>
              </w:rPr>
            </w:pPr>
            <w:r w:rsidRPr="002E2858">
              <w:rPr>
                <w:rFonts w:cs="Arial"/>
                <w:sz w:val="22"/>
                <w:szCs w:val="22"/>
                <w:lang w:eastAsia="en-US"/>
              </w:rPr>
              <w:t>Mišljenje o</w:t>
            </w:r>
          </w:p>
        </w:tc>
      </w:tr>
      <w:tr w:rsidR="00DB6D4D" w:rsidRPr="002E2858" w:rsidTr="00C15108">
        <w:trPr>
          <w:trHeight w:val="63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6D4D" w:rsidRPr="002E2858" w:rsidRDefault="00DB6D4D" w:rsidP="006970C5">
            <w:pPr>
              <w:widowControl/>
              <w:autoSpaceDE/>
              <w:autoSpaceDN/>
              <w:adjustRightInd/>
              <w:rPr>
                <w:rFonts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6D4D" w:rsidRPr="002E2858" w:rsidRDefault="00DB6D4D" w:rsidP="006970C5">
            <w:pPr>
              <w:widowControl/>
              <w:autoSpaceDE/>
              <w:autoSpaceDN/>
              <w:adjustRightInd/>
              <w:rPr>
                <w:rFonts w:cs="Arial"/>
                <w:sz w:val="22"/>
                <w:szCs w:val="22"/>
                <w:lang w:eastAsia="en-US"/>
              </w:rPr>
            </w:pPr>
          </w:p>
        </w:tc>
        <w:tc>
          <w:tcPr>
            <w:tcW w:w="18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B6D4D" w:rsidRPr="002E2858" w:rsidRDefault="00DB6D4D" w:rsidP="006970C5">
            <w:pPr>
              <w:jc w:val="center"/>
              <w:rPr>
                <w:rFonts w:cs="Arial"/>
                <w:sz w:val="22"/>
                <w:szCs w:val="22"/>
                <w:lang w:eastAsia="en-US"/>
              </w:rPr>
            </w:pPr>
            <w:r w:rsidRPr="002E2858">
              <w:rPr>
                <w:rFonts w:cs="Arial"/>
                <w:sz w:val="22"/>
                <w:szCs w:val="22"/>
                <w:lang w:eastAsia="en-US"/>
              </w:rPr>
              <w:t>financijskim izvještajima</w:t>
            </w:r>
          </w:p>
        </w:tc>
        <w:tc>
          <w:tcPr>
            <w:tcW w:w="18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B6D4D" w:rsidRPr="002E2858" w:rsidRDefault="00DB6D4D" w:rsidP="006970C5">
            <w:pPr>
              <w:jc w:val="center"/>
              <w:rPr>
                <w:rFonts w:cs="Arial"/>
                <w:sz w:val="22"/>
                <w:szCs w:val="22"/>
                <w:lang w:eastAsia="en-US"/>
              </w:rPr>
            </w:pPr>
            <w:r w:rsidRPr="002E2858">
              <w:rPr>
                <w:rFonts w:cs="Arial"/>
                <w:sz w:val="22"/>
                <w:szCs w:val="22"/>
                <w:lang w:eastAsia="en-US"/>
              </w:rPr>
              <w:t>usklađenosti poslovanja</w:t>
            </w:r>
          </w:p>
        </w:tc>
      </w:tr>
      <w:tr w:rsidR="00DB6D4D" w:rsidRPr="002E2858" w:rsidTr="00C15108">
        <w:trPr>
          <w:trHeight w:val="320"/>
        </w:trPr>
        <w:tc>
          <w:tcPr>
            <w:tcW w:w="96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6D4D" w:rsidRPr="002E2858" w:rsidRDefault="00DB6D4D" w:rsidP="006970C5">
            <w:pPr>
              <w:jc w:val="left"/>
              <w:rPr>
                <w:rFonts w:cs="Arial"/>
                <w:sz w:val="22"/>
                <w:szCs w:val="22"/>
                <w:lang w:eastAsia="en-US"/>
              </w:rPr>
            </w:pPr>
            <w:r w:rsidRPr="002E2858">
              <w:rPr>
                <w:rFonts w:cs="Arial"/>
                <w:sz w:val="22"/>
                <w:szCs w:val="22"/>
                <w:lang w:eastAsia="en-US"/>
              </w:rPr>
              <w:t xml:space="preserve">              </w:t>
            </w:r>
            <w:r w:rsidR="00C15108">
              <w:rPr>
                <w:rFonts w:cs="Arial"/>
                <w:sz w:val="22"/>
                <w:szCs w:val="22"/>
                <w:lang w:eastAsia="en-US"/>
              </w:rPr>
              <w:t xml:space="preserve">  </w:t>
            </w:r>
            <w:r w:rsidRPr="002E2858">
              <w:rPr>
                <w:rFonts w:cs="Arial"/>
                <w:sz w:val="22"/>
                <w:szCs w:val="22"/>
                <w:lang w:eastAsia="en-US"/>
              </w:rPr>
              <w:t>Proračunski korisnici državnog proračuna</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1.</w:t>
            </w:r>
          </w:p>
        </w:tc>
        <w:tc>
          <w:tcPr>
            <w:tcW w:w="5002"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left"/>
              <w:rPr>
                <w:rFonts w:cs="Arial"/>
                <w:sz w:val="22"/>
                <w:szCs w:val="22"/>
                <w:lang w:eastAsia="en-US"/>
              </w:rPr>
            </w:pPr>
            <w:r w:rsidRPr="002E2858">
              <w:rPr>
                <w:rFonts w:cs="Arial"/>
                <w:sz w:val="22"/>
                <w:szCs w:val="22"/>
                <w:lang w:eastAsia="en-US"/>
              </w:rPr>
              <w:t xml:space="preserve">Agencija za pravni promet i </w:t>
            </w:r>
            <w:r w:rsidR="00BA2262" w:rsidRPr="002E2858">
              <w:rPr>
                <w:rFonts w:cs="Arial"/>
                <w:sz w:val="22"/>
                <w:szCs w:val="22"/>
                <w:lang w:eastAsia="en-US"/>
              </w:rPr>
              <w:t>posredovanje</w:t>
            </w:r>
            <w:r w:rsidRPr="002E2858">
              <w:rPr>
                <w:rFonts w:cs="Arial"/>
                <w:sz w:val="22"/>
                <w:szCs w:val="22"/>
                <w:lang w:eastAsia="en-US"/>
              </w:rPr>
              <w:t xml:space="preserve"> nekretninama</w:t>
            </w:r>
          </w:p>
        </w:tc>
        <w:tc>
          <w:tcPr>
            <w:tcW w:w="1857"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2.</w:t>
            </w:r>
          </w:p>
        </w:tc>
        <w:tc>
          <w:tcPr>
            <w:tcW w:w="5002"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left"/>
              <w:rPr>
                <w:rFonts w:cs="Arial"/>
                <w:sz w:val="22"/>
                <w:szCs w:val="22"/>
                <w:lang w:eastAsia="en-US"/>
              </w:rPr>
            </w:pPr>
            <w:r w:rsidRPr="002E2858">
              <w:rPr>
                <w:rFonts w:cs="Arial"/>
                <w:sz w:val="22"/>
                <w:szCs w:val="22"/>
                <w:lang w:eastAsia="en-US"/>
              </w:rPr>
              <w:t>Ministarstvo financija, Carinska uprava</w:t>
            </w:r>
          </w:p>
        </w:tc>
        <w:tc>
          <w:tcPr>
            <w:tcW w:w="1857"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3.</w:t>
            </w:r>
          </w:p>
        </w:tc>
        <w:tc>
          <w:tcPr>
            <w:tcW w:w="5002"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left"/>
              <w:rPr>
                <w:rFonts w:cs="Arial"/>
                <w:sz w:val="22"/>
                <w:szCs w:val="22"/>
                <w:lang w:eastAsia="en-US"/>
              </w:rPr>
            </w:pPr>
            <w:r w:rsidRPr="002E2858">
              <w:rPr>
                <w:rFonts w:cs="Arial"/>
                <w:sz w:val="22"/>
                <w:szCs w:val="22"/>
                <w:lang w:eastAsia="en-US"/>
              </w:rPr>
              <w:t>Ministarstvo poljoprivrede, šumarstva i ribarstva</w:t>
            </w:r>
          </w:p>
        </w:tc>
        <w:tc>
          <w:tcPr>
            <w:tcW w:w="1857"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4.</w:t>
            </w:r>
          </w:p>
        </w:tc>
        <w:tc>
          <w:tcPr>
            <w:tcW w:w="5002"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left"/>
              <w:rPr>
                <w:rFonts w:cs="Arial"/>
                <w:sz w:val="22"/>
                <w:szCs w:val="22"/>
                <w:lang w:eastAsia="en-US"/>
              </w:rPr>
            </w:pPr>
            <w:r w:rsidRPr="002E2858">
              <w:rPr>
                <w:rFonts w:cs="Arial"/>
                <w:sz w:val="22"/>
                <w:szCs w:val="22"/>
                <w:lang w:eastAsia="en-US"/>
              </w:rPr>
              <w:t>Nacionalna i sveučilišna knjižnica u Zagrebu</w:t>
            </w:r>
          </w:p>
        </w:tc>
        <w:tc>
          <w:tcPr>
            <w:tcW w:w="1857"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r>
      <w:tr w:rsidR="006E26D9" w:rsidRPr="002E2858" w:rsidTr="00C15108">
        <w:trPr>
          <w:trHeight w:val="320"/>
        </w:trPr>
        <w:tc>
          <w:tcPr>
            <w:tcW w:w="96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26D9" w:rsidRPr="002E2858" w:rsidRDefault="006E26D9" w:rsidP="006970C5">
            <w:pPr>
              <w:jc w:val="left"/>
              <w:rPr>
                <w:rFonts w:cs="Arial"/>
                <w:sz w:val="22"/>
                <w:szCs w:val="22"/>
                <w:lang w:eastAsia="en-US"/>
              </w:rPr>
            </w:pPr>
            <w:r w:rsidRPr="002E2858">
              <w:rPr>
                <w:rFonts w:cs="Arial"/>
                <w:sz w:val="22"/>
                <w:szCs w:val="22"/>
                <w:lang w:eastAsia="en-US"/>
              </w:rPr>
              <w:t xml:space="preserve">             </w:t>
            </w:r>
            <w:r w:rsidR="00BA2262" w:rsidRPr="002E2858">
              <w:rPr>
                <w:rFonts w:cs="Arial"/>
                <w:sz w:val="22"/>
                <w:szCs w:val="22"/>
                <w:lang w:eastAsia="en-US"/>
              </w:rPr>
              <w:t xml:space="preserve"> </w:t>
            </w:r>
            <w:r w:rsidR="00C15108">
              <w:rPr>
                <w:rFonts w:cs="Arial"/>
                <w:sz w:val="22"/>
                <w:szCs w:val="22"/>
                <w:lang w:eastAsia="en-US"/>
              </w:rPr>
              <w:t xml:space="preserve">  </w:t>
            </w:r>
            <w:r w:rsidRPr="002E2858">
              <w:rPr>
                <w:rFonts w:cs="Arial"/>
                <w:sz w:val="22"/>
                <w:szCs w:val="22"/>
                <w:lang w:eastAsia="en-US"/>
              </w:rPr>
              <w:t>Jedinice lokalne i područne (regionalne) samouprave</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1.</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Grad Bakar</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2.</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Grad Nova Gradiška</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3.</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Grad Novalja</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4.</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Grad Opatija</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5.</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Grad Orahovica</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6.</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Grad Ploče</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7.</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Grad Senj</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 xml:space="preserve">8. </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Grad Sisak</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nepovoljno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 xml:space="preserve">9. </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Grad Trilj</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10.</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Općina Bibinje</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11.</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Općina Bilice</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12.</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Općina Klakar</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13.</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Općina Petrijanec</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14.</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Općina Primošten</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15.</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Općina Tar-Vabriga</w:t>
            </w:r>
            <w:r w:rsidR="00156ED4" w:rsidRPr="002E2858">
              <w:rPr>
                <w:rFonts w:cs="Arial"/>
                <w:sz w:val="22"/>
                <w:szCs w:val="22"/>
                <w:lang w:eastAsia="en-US"/>
              </w:rPr>
              <w:t xml:space="preserve"> – </w:t>
            </w:r>
            <w:r w:rsidR="00156ED4" w:rsidRPr="002E2858">
              <w:rPr>
                <w:rFonts w:eastAsia="Calibri" w:cs="Arial"/>
                <w:sz w:val="22"/>
                <w:szCs w:val="22"/>
                <w:lang w:eastAsia="en-US"/>
              </w:rPr>
              <w:t>Torre-Vabrega</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16.</w:t>
            </w:r>
          </w:p>
        </w:tc>
        <w:tc>
          <w:tcPr>
            <w:tcW w:w="5002"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rPr>
                <w:rFonts w:cs="Arial"/>
                <w:sz w:val="22"/>
                <w:szCs w:val="22"/>
                <w:lang w:eastAsia="en-US"/>
              </w:rPr>
            </w:pPr>
            <w:r w:rsidRPr="002E2858">
              <w:rPr>
                <w:rFonts w:cs="Arial"/>
                <w:sz w:val="22"/>
                <w:szCs w:val="22"/>
                <w:lang w:eastAsia="en-US"/>
              </w:rPr>
              <w:t>Općina Trnovec Bartolovečki</w:t>
            </w:r>
          </w:p>
        </w:tc>
        <w:tc>
          <w:tcPr>
            <w:tcW w:w="1857"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r>
      <w:tr w:rsidR="006E26D9" w:rsidRPr="002E2858" w:rsidTr="00C15108">
        <w:trPr>
          <w:trHeight w:val="320"/>
        </w:trPr>
        <w:tc>
          <w:tcPr>
            <w:tcW w:w="96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26D9" w:rsidRPr="002E2858" w:rsidRDefault="00F80DC6" w:rsidP="00C15108">
            <w:pPr>
              <w:rPr>
                <w:rFonts w:cs="Arial"/>
                <w:sz w:val="22"/>
                <w:szCs w:val="22"/>
                <w:lang w:eastAsia="en-US"/>
              </w:rPr>
            </w:pPr>
            <w:r w:rsidRPr="002E2858">
              <w:rPr>
                <w:rFonts w:cs="Arial"/>
                <w:sz w:val="22"/>
                <w:szCs w:val="22"/>
                <w:lang w:eastAsia="en-US"/>
              </w:rPr>
              <w:t xml:space="preserve">              </w:t>
            </w:r>
            <w:r w:rsidR="00C15108">
              <w:rPr>
                <w:rFonts w:cs="Arial"/>
                <w:sz w:val="22"/>
                <w:szCs w:val="22"/>
                <w:lang w:eastAsia="en-US"/>
              </w:rPr>
              <w:t xml:space="preserve">  </w:t>
            </w:r>
            <w:r w:rsidR="006E26D9" w:rsidRPr="002E2858">
              <w:rPr>
                <w:rFonts w:cs="Arial"/>
                <w:sz w:val="22"/>
                <w:szCs w:val="22"/>
                <w:lang w:eastAsia="en-US"/>
              </w:rPr>
              <w:t>Proračunski korisnici JLP(R)S</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1.</w:t>
            </w:r>
          </w:p>
        </w:tc>
        <w:tc>
          <w:tcPr>
            <w:tcW w:w="5002"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C15108">
            <w:pPr>
              <w:jc w:val="left"/>
              <w:rPr>
                <w:rFonts w:cs="Arial"/>
                <w:sz w:val="22"/>
                <w:szCs w:val="22"/>
                <w:lang w:eastAsia="en-US"/>
              </w:rPr>
            </w:pPr>
            <w:r w:rsidRPr="002E2858">
              <w:rPr>
                <w:rFonts w:cs="Arial"/>
                <w:sz w:val="22"/>
                <w:szCs w:val="22"/>
                <w:lang w:eastAsia="en-US"/>
              </w:rPr>
              <w:t>Javna ustanova za upravljanje Park-šumom Marjan, Split</w:t>
            </w:r>
          </w:p>
        </w:tc>
        <w:tc>
          <w:tcPr>
            <w:tcW w:w="1857"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6E26D9"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2.</w:t>
            </w:r>
          </w:p>
        </w:tc>
        <w:tc>
          <w:tcPr>
            <w:tcW w:w="5002"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rPr>
                <w:rFonts w:cs="Arial"/>
                <w:sz w:val="22"/>
                <w:szCs w:val="22"/>
                <w:lang w:eastAsia="en-US"/>
              </w:rPr>
            </w:pPr>
            <w:r w:rsidRPr="002E2858">
              <w:rPr>
                <w:rFonts w:cs="Arial"/>
                <w:sz w:val="22"/>
                <w:szCs w:val="22"/>
                <w:lang w:eastAsia="en-US"/>
              </w:rPr>
              <w:t xml:space="preserve">Srednja škola Zabok </w:t>
            </w:r>
          </w:p>
        </w:tc>
        <w:tc>
          <w:tcPr>
            <w:tcW w:w="1857"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bezuvjetno</w:t>
            </w:r>
          </w:p>
        </w:tc>
        <w:tc>
          <w:tcPr>
            <w:tcW w:w="1803" w:type="dxa"/>
            <w:tcBorders>
              <w:top w:val="single" w:sz="4" w:space="0" w:color="auto"/>
              <w:left w:val="single" w:sz="4" w:space="0" w:color="auto"/>
              <w:bottom w:val="single" w:sz="4" w:space="0" w:color="auto"/>
              <w:right w:val="single" w:sz="4" w:space="0" w:color="auto"/>
            </w:tcBorders>
            <w:vAlign w:val="center"/>
          </w:tcPr>
          <w:p w:rsidR="006E26D9" w:rsidRPr="002E2858" w:rsidRDefault="006E26D9" w:rsidP="006970C5">
            <w:pPr>
              <w:jc w:val="center"/>
              <w:rPr>
                <w:rFonts w:cs="Arial"/>
                <w:sz w:val="22"/>
                <w:szCs w:val="22"/>
                <w:lang w:eastAsia="en-US"/>
              </w:rPr>
            </w:pPr>
            <w:r w:rsidRPr="002E2858">
              <w:rPr>
                <w:rFonts w:cs="Arial"/>
                <w:sz w:val="22"/>
                <w:szCs w:val="22"/>
                <w:lang w:eastAsia="en-US"/>
              </w:rPr>
              <w:t>uvjetno</w:t>
            </w:r>
          </w:p>
        </w:tc>
      </w:tr>
      <w:tr w:rsidR="00F80DC6" w:rsidRPr="002E2858" w:rsidTr="00C15108">
        <w:trPr>
          <w:trHeight w:val="320"/>
        </w:trPr>
        <w:tc>
          <w:tcPr>
            <w:tcW w:w="96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0DC6" w:rsidRPr="002E2858" w:rsidRDefault="00F80DC6" w:rsidP="006970C5">
            <w:pPr>
              <w:jc w:val="left"/>
              <w:rPr>
                <w:rFonts w:cs="Arial"/>
                <w:sz w:val="22"/>
                <w:szCs w:val="22"/>
                <w:lang w:eastAsia="en-US"/>
              </w:rPr>
            </w:pPr>
            <w:r w:rsidRPr="002E2858">
              <w:rPr>
                <w:rFonts w:cs="Arial"/>
                <w:sz w:val="22"/>
                <w:szCs w:val="22"/>
                <w:lang w:eastAsia="en-US"/>
              </w:rPr>
              <w:t xml:space="preserve">             </w:t>
            </w:r>
            <w:r w:rsidR="00953EF0" w:rsidRPr="002E2858">
              <w:rPr>
                <w:rFonts w:cs="Arial"/>
                <w:sz w:val="22"/>
                <w:szCs w:val="22"/>
                <w:lang w:eastAsia="en-US"/>
              </w:rPr>
              <w:t xml:space="preserve"> </w:t>
            </w:r>
            <w:r w:rsidRPr="002E2858">
              <w:rPr>
                <w:rFonts w:cs="Arial"/>
                <w:sz w:val="22"/>
                <w:szCs w:val="22"/>
                <w:lang w:eastAsia="en-US"/>
              </w:rPr>
              <w:t xml:space="preserve"> </w:t>
            </w:r>
            <w:r w:rsidR="00C15108">
              <w:rPr>
                <w:rFonts w:cs="Arial"/>
                <w:sz w:val="22"/>
                <w:szCs w:val="22"/>
                <w:lang w:eastAsia="en-US"/>
              </w:rPr>
              <w:t xml:space="preserve"> </w:t>
            </w:r>
            <w:r w:rsidRPr="002E2858">
              <w:rPr>
                <w:rFonts w:cs="Arial"/>
                <w:sz w:val="22"/>
                <w:szCs w:val="22"/>
                <w:lang w:eastAsia="en-US"/>
              </w:rPr>
              <w:t>Neprofitne organizacije</w:t>
            </w:r>
          </w:p>
        </w:tc>
      </w:tr>
      <w:tr w:rsidR="00F80DC6"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F80DC6" w:rsidRPr="002E2858" w:rsidRDefault="00F80DC6" w:rsidP="006970C5">
            <w:pPr>
              <w:jc w:val="center"/>
              <w:rPr>
                <w:rFonts w:cs="Arial"/>
                <w:sz w:val="22"/>
                <w:szCs w:val="22"/>
                <w:lang w:eastAsia="en-US"/>
              </w:rPr>
            </w:pPr>
            <w:r w:rsidRPr="002E2858">
              <w:rPr>
                <w:rFonts w:cs="Arial"/>
                <w:sz w:val="22"/>
                <w:szCs w:val="22"/>
                <w:lang w:eastAsia="en-US"/>
              </w:rPr>
              <w:t>1.</w:t>
            </w:r>
          </w:p>
        </w:tc>
        <w:tc>
          <w:tcPr>
            <w:tcW w:w="5002" w:type="dxa"/>
            <w:tcBorders>
              <w:top w:val="single" w:sz="4" w:space="0" w:color="auto"/>
              <w:left w:val="single" w:sz="4" w:space="0" w:color="auto"/>
              <w:bottom w:val="single" w:sz="4" w:space="0" w:color="auto"/>
              <w:right w:val="single" w:sz="4" w:space="0" w:color="auto"/>
            </w:tcBorders>
            <w:vAlign w:val="center"/>
          </w:tcPr>
          <w:p w:rsidR="00F80DC6" w:rsidRPr="002E2858" w:rsidRDefault="0078431B" w:rsidP="006970C5">
            <w:pPr>
              <w:jc w:val="left"/>
              <w:rPr>
                <w:rFonts w:cs="Arial"/>
                <w:sz w:val="22"/>
                <w:szCs w:val="22"/>
                <w:lang w:eastAsia="en-US"/>
              </w:rPr>
            </w:pPr>
            <w:r w:rsidRPr="002E2858">
              <w:rPr>
                <w:rFonts w:cs="Arial"/>
                <w:sz w:val="22"/>
                <w:szCs w:val="22"/>
                <w:lang w:eastAsia="en-US"/>
              </w:rPr>
              <w:t>Hrvatski lovački savez</w:t>
            </w:r>
          </w:p>
        </w:tc>
        <w:tc>
          <w:tcPr>
            <w:tcW w:w="1857" w:type="dxa"/>
            <w:tcBorders>
              <w:top w:val="single" w:sz="4" w:space="0" w:color="auto"/>
              <w:left w:val="single" w:sz="4" w:space="0" w:color="auto"/>
              <w:bottom w:val="single" w:sz="4" w:space="0" w:color="auto"/>
              <w:right w:val="single" w:sz="4" w:space="0" w:color="auto"/>
            </w:tcBorders>
            <w:vAlign w:val="center"/>
          </w:tcPr>
          <w:p w:rsidR="00F80DC6" w:rsidRPr="002E2858" w:rsidRDefault="002776C6" w:rsidP="006970C5">
            <w:pPr>
              <w:jc w:val="center"/>
              <w:rPr>
                <w:rFonts w:cs="Arial"/>
                <w:sz w:val="22"/>
                <w:szCs w:val="22"/>
                <w:lang w:eastAsia="en-US"/>
              </w:rPr>
            </w:pPr>
            <w:r w:rsidRPr="002E2858">
              <w:rPr>
                <w:rFonts w:cs="Arial"/>
                <w:sz w:val="22"/>
                <w:szCs w:val="22"/>
                <w:lang w:eastAsia="en-US"/>
              </w:rPr>
              <w:t>suzdržano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F80DC6" w:rsidRPr="002E2858" w:rsidRDefault="00F80DC6" w:rsidP="006970C5">
            <w:pPr>
              <w:jc w:val="center"/>
              <w:rPr>
                <w:rFonts w:cs="Arial"/>
                <w:sz w:val="22"/>
                <w:szCs w:val="22"/>
                <w:lang w:eastAsia="en-US"/>
              </w:rPr>
            </w:pPr>
            <w:r w:rsidRPr="002E2858">
              <w:rPr>
                <w:rFonts w:cs="Arial"/>
                <w:sz w:val="22"/>
                <w:szCs w:val="22"/>
                <w:lang w:eastAsia="en-US"/>
              </w:rPr>
              <w:t>uvjetno</w:t>
            </w:r>
          </w:p>
        </w:tc>
      </w:tr>
      <w:tr w:rsidR="00F80DC6" w:rsidRPr="002E2858" w:rsidTr="00C1510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F80DC6" w:rsidRPr="002E2858" w:rsidRDefault="00F80DC6" w:rsidP="006970C5">
            <w:pPr>
              <w:jc w:val="center"/>
              <w:rPr>
                <w:rFonts w:cs="Arial"/>
                <w:sz w:val="22"/>
                <w:szCs w:val="22"/>
                <w:lang w:eastAsia="en-US"/>
              </w:rPr>
            </w:pPr>
            <w:r w:rsidRPr="002E2858">
              <w:rPr>
                <w:rFonts w:cs="Arial"/>
                <w:sz w:val="22"/>
                <w:szCs w:val="22"/>
                <w:lang w:eastAsia="en-US"/>
              </w:rPr>
              <w:t>2.</w:t>
            </w:r>
          </w:p>
        </w:tc>
        <w:tc>
          <w:tcPr>
            <w:tcW w:w="5002" w:type="dxa"/>
            <w:tcBorders>
              <w:top w:val="single" w:sz="4" w:space="0" w:color="auto"/>
              <w:left w:val="single" w:sz="4" w:space="0" w:color="auto"/>
              <w:bottom w:val="single" w:sz="4" w:space="0" w:color="auto"/>
              <w:right w:val="single" w:sz="4" w:space="0" w:color="auto"/>
            </w:tcBorders>
            <w:vAlign w:val="center"/>
          </w:tcPr>
          <w:p w:rsidR="00F80DC6" w:rsidRPr="002E2858" w:rsidRDefault="0078431B" w:rsidP="006970C5">
            <w:pPr>
              <w:jc w:val="left"/>
              <w:rPr>
                <w:rFonts w:cs="Arial"/>
                <w:sz w:val="22"/>
                <w:szCs w:val="22"/>
                <w:lang w:eastAsia="en-US"/>
              </w:rPr>
            </w:pPr>
            <w:r w:rsidRPr="002E2858">
              <w:rPr>
                <w:rFonts w:cs="Arial"/>
                <w:sz w:val="22"/>
                <w:szCs w:val="22"/>
                <w:lang w:eastAsia="en-US"/>
              </w:rPr>
              <w:t>Sportski savez Grada Zagreba</w:t>
            </w:r>
          </w:p>
        </w:tc>
        <w:tc>
          <w:tcPr>
            <w:tcW w:w="1857" w:type="dxa"/>
            <w:tcBorders>
              <w:top w:val="single" w:sz="4" w:space="0" w:color="auto"/>
              <w:left w:val="single" w:sz="4" w:space="0" w:color="auto"/>
              <w:bottom w:val="single" w:sz="4" w:space="0" w:color="auto"/>
              <w:right w:val="single" w:sz="4" w:space="0" w:color="auto"/>
            </w:tcBorders>
            <w:vAlign w:val="center"/>
          </w:tcPr>
          <w:p w:rsidR="00F80DC6" w:rsidRPr="002E2858" w:rsidRDefault="002776C6" w:rsidP="006970C5">
            <w:pPr>
              <w:jc w:val="center"/>
              <w:rPr>
                <w:rFonts w:cs="Arial"/>
                <w:sz w:val="22"/>
                <w:szCs w:val="22"/>
                <w:lang w:eastAsia="en-US"/>
              </w:rPr>
            </w:pPr>
            <w:r w:rsidRPr="002E2858">
              <w:rPr>
                <w:rFonts w:cs="Arial"/>
                <w:sz w:val="22"/>
                <w:szCs w:val="22"/>
                <w:lang w:eastAsia="en-US"/>
              </w:rPr>
              <w:t>bez</w:t>
            </w:r>
            <w:r w:rsidR="00F80DC6" w:rsidRPr="002E2858">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vAlign w:val="center"/>
            <w:hideMark/>
          </w:tcPr>
          <w:p w:rsidR="00F80DC6" w:rsidRPr="002E2858" w:rsidRDefault="002776C6" w:rsidP="006970C5">
            <w:pPr>
              <w:jc w:val="center"/>
              <w:rPr>
                <w:rFonts w:cs="Arial"/>
                <w:sz w:val="22"/>
                <w:szCs w:val="22"/>
                <w:lang w:eastAsia="en-US"/>
              </w:rPr>
            </w:pPr>
            <w:r w:rsidRPr="002E2858">
              <w:rPr>
                <w:rFonts w:cs="Arial"/>
                <w:sz w:val="22"/>
                <w:szCs w:val="22"/>
                <w:lang w:eastAsia="en-US"/>
              </w:rPr>
              <w:t>bez</w:t>
            </w:r>
            <w:r w:rsidR="00F80DC6" w:rsidRPr="002E2858">
              <w:rPr>
                <w:rFonts w:cs="Arial"/>
                <w:sz w:val="22"/>
                <w:szCs w:val="22"/>
                <w:lang w:eastAsia="en-US"/>
              </w:rPr>
              <w:t>uvjetno</w:t>
            </w:r>
          </w:p>
        </w:tc>
      </w:tr>
      <w:tr w:rsidR="00F80DC6" w:rsidRPr="002E2858" w:rsidTr="00C15108">
        <w:trPr>
          <w:trHeight w:val="320"/>
        </w:trPr>
        <w:tc>
          <w:tcPr>
            <w:tcW w:w="96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80DC6" w:rsidRPr="002E2858" w:rsidRDefault="00F80DC6" w:rsidP="006970C5">
            <w:pPr>
              <w:jc w:val="left"/>
              <w:rPr>
                <w:rFonts w:cs="Arial"/>
                <w:sz w:val="22"/>
                <w:szCs w:val="22"/>
                <w:lang w:eastAsia="en-US"/>
              </w:rPr>
            </w:pPr>
            <w:r w:rsidRPr="002E2858">
              <w:rPr>
                <w:rFonts w:cs="Arial"/>
                <w:sz w:val="22"/>
                <w:szCs w:val="22"/>
                <w:lang w:eastAsia="en-US"/>
              </w:rPr>
              <w:t xml:space="preserve">             </w:t>
            </w:r>
            <w:r w:rsidR="00953EF0" w:rsidRPr="002E2858">
              <w:rPr>
                <w:rFonts w:cs="Arial"/>
                <w:sz w:val="22"/>
                <w:szCs w:val="22"/>
                <w:lang w:eastAsia="en-US"/>
              </w:rPr>
              <w:t xml:space="preserve"> </w:t>
            </w:r>
            <w:r w:rsidR="00C15108">
              <w:rPr>
                <w:rFonts w:cs="Arial"/>
                <w:sz w:val="22"/>
                <w:szCs w:val="22"/>
                <w:lang w:eastAsia="en-US"/>
              </w:rPr>
              <w:t xml:space="preserve"> </w:t>
            </w:r>
            <w:r w:rsidRPr="002E2858">
              <w:rPr>
                <w:rFonts w:cs="Arial"/>
                <w:sz w:val="22"/>
                <w:szCs w:val="22"/>
                <w:lang w:eastAsia="en-US"/>
              </w:rPr>
              <w:t>Trgovačka društva u vlasništvu JLP(R)S</w:t>
            </w:r>
          </w:p>
        </w:tc>
      </w:tr>
      <w:tr w:rsidR="00E0299A" w:rsidRPr="002E2858" w:rsidTr="006520C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jc w:val="center"/>
              <w:rPr>
                <w:rFonts w:cs="Arial"/>
                <w:sz w:val="22"/>
                <w:szCs w:val="22"/>
                <w:lang w:eastAsia="en-US"/>
              </w:rPr>
            </w:pPr>
            <w:r w:rsidRPr="002E2858">
              <w:rPr>
                <w:rFonts w:cs="Arial"/>
                <w:sz w:val="22"/>
                <w:szCs w:val="22"/>
                <w:lang w:eastAsia="en-US"/>
              </w:rPr>
              <w:t>1.</w:t>
            </w:r>
          </w:p>
        </w:tc>
        <w:tc>
          <w:tcPr>
            <w:tcW w:w="5002"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pStyle w:val="Tijeloteksta"/>
              <w:kinsoku w:val="0"/>
              <w:overflowPunct w:val="0"/>
              <w:jc w:val="both"/>
              <w:rPr>
                <w:rFonts w:ascii="Arial" w:hAnsi="Arial" w:cs="Arial"/>
                <w:sz w:val="22"/>
                <w:szCs w:val="22"/>
              </w:rPr>
            </w:pPr>
            <w:r w:rsidRPr="002E2858">
              <w:rPr>
                <w:rFonts w:ascii="Arial" w:hAnsi="Arial" w:cs="Arial"/>
                <w:sz w:val="22"/>
                <w:szCs w:val="22"/>
              </w:rPr>
              <w:t>Eko Jankovci d.o.o., Stari Jankovci</w:t>
            </w:r>
          </w:p>
        </w:tc>
        <w:tc>
          <w:tcPr>
            <w:tcW w:w="1857"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bezuvjetno</w:t>
            </w:r>
          </w:p>
        </w:tc>
        <w:tc>
          <w:tcPr>
            <w:tcW w:w="1803"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uvjetno</w:t>
            </w:r>
          </w:p>
        </w:tc>
      </w:tr>
      <w:tr w:rsidR="00E0299A" w:rsidRPr="002E2858" w:rsidTr="006520C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jc w:val="center"/>
              <w:rPr>
                <w:rFonts w:cs="Arial"/>
                <w:sz w:val="22"/>
                <w:szCs w:val="22"/>
                <w:lang w:eastAsia="en-US"/>
              </w:rPr>
            </w:pPr>
            <w:r w:rsidRPr="002E2858">
              <w:rPr>
                <w:rFonts w:cs="Arial"/>
                <w:sz w:val="22"/>
                <w:szCs w:val="22"/>
                <w:lang w:eastAsia="en-US"/>
              </w:rPr>
              <w:t>2.</w:t>
            </w:r>
          </w:p>
        </w:tc>
        <w:tc>
          <w:tcPr>
            <w:tcW w:w="5002"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pStyle w:val="Tijeloteksta"/>
              <w:kinsoku w:val="0"/>
              <w:overflowPunct w:val="0"/>
              <w:jc w:val="both"/>
              <w:rPr>
                <w:rFonts w:ascii="Arial" w:hAnsi="Arial" w:cs="Arial"/>
                <w:sz w:val="22"/>
                <w:szCs w:val="22"/>
              </w:rPr>
            </w:pPr>
            <w:r w:rsidRPr="002E2858">
              <w:rPr>
                <w:rFonts w:ascii="Arial" w:hAnsi="Arial" w:cs="Arial"/>
                <w:sz w:val="22"/>
                <w:szCs w:val="22"/>
              </w:rPr>
              <w:t>Ljekarna Čakovec</w:t>
            </w:r>
          </w:p>
        </w:tc>
        <w:tc>
          <w:tcPr>
            <w:tcW w:w="1857"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bezuvjetno</w:t>
            </w:r>
          </w:p>
        </w:tc>
        <w:tc>
          <w:tcPr>
            <w:tcW w:w="1803"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uvjetno</w:t>
            </w:r>
          </w:p>
        </w:tc>
      </w:tr>
      <w:tr w:rsidR="00E0299A" w:rsidRPr="002E2858" w:rsidTr="006520C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jc w:val="center"/>
              <w:rPr>
                <w:rFonts w:cs="Arial"/>
                <w:sz w:val="22"/>
                <w:szCs w:val="22"/>
                <w:lang w:eastAsia="en-US"/>
              </w:rPr>
            </w:pPr>
            <w:r w:rsidRPr="002E2858">
              <w:rPr>
                <w:rFonts w:cs="Arial"/>
                <w:sz w:val="22"/>
                <w:szCs w:val="22"/>
                <w:lang w:eastAsia="en-US"/>
              </w:rPr>
              <w:t>3.</w:t>
            </w:r>
          </w:p>
        </w:tc>
        <w:tc>
          <w:tcPr>
            <w:tcW w:w="5002"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pStyle w:val="Tijeloteksta"/>
              <w:kinsoku w:val="0"/>
              <w:overflowPunct w:val="0"/>
              <w:jc w:val="both"/>
              <w:rPr>
                <w:rFonts w:ascii="Arial" w:hAnsi="Arial" w:cs="Arial"/>
                <w:sz w:val="22"/>
                <w:szCs w:val="22"/>
              </w:rPr>
            </w:pPr>
            <w:r w:rsidRPr="002E2858">
              <w:rPr>
                <w:rFonts w:ascii="Arial" w:hAnsi="Arial" w:cs="Arial"/>
                <w:sz w:val="22"/>
                <w:szCs w:val="22"/>
              </w:rPr>
              <w:t>Neapolis d.o.o., Novigrad</w:t>
            </w:r>
          </w:p>
        </w:tc>
        <w:tc>
          <w:tcPr>
            <w:tcW w:w="1857"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bezuvjetno</w:t>
            </w:r>
          </w:p>
        </w:tc>
        <w:tc>
          <w:tcPr>
            <w:tcW w:w="1803"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uvjetno</w:t>
            </w:r>
          </w:p>
        </w:tc>
      </w:tr>
      <w:tr w:rsidR="00E0299A" w:rsidRPr="002E2858" w:rsidTr="006520C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jc w:val="center"/>
              <w:rPr>
                <w:rFonts w:cs="Arial"/>
                <w:sz w:val="22"/>
                <w:szCs w:val="22"/>
                <w:lang w:eastAsia="en-US"/>
              </w:rPr>
            </w:pPr>
            <w:r w:rsidRPr="002E2858">
              <w:rPr>
                <w:rFonts w:cs="Arial"/>
                <w:sz w:val="22"/>
                <w:szCs w:val="22"/>
                <w:lang w:eastAsia="en-US"/>
              </w:rPr>
              <w:t>4.</w:t>
            </w:r>
          </w:p>
        </w:tc>
        <w:tc>
          <w:tcPr>
            <w:tcW w:w="5002"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pStyle w:val="Tijeloteksta"/>
              <w:kinsoku w:val="0"/>
              <w:overflowPunct w:val="0"/>
              <w:rPr>
                <w:rFonts w:ascii="Arial" w:hAnsi="Arial" w:cs="Arial"/>
                <w:b/>
                <w:sz w:val="22"/>
                <w:szCs w:val="22"/>
              </w:rPr>
            </w:pPr>
            <w:r w:rsidRPr="002E2858">
              <w:rPr>
                <w:rFonts w:ascii="Arial" w:hAnsi="Arial" w:cs="Arial"/>
                <w:sz w:val="22"/>
                <w:szCs w:val="22"/>
              </w:rPr>
              <w:t>Vukovarski vodotoranj – simbol hrvatskog zajedništva d.o.o.</w:t>
            </w:r>
          </w:p>
        </w:tc>
        <w:tc>
          <w:tcPr>
            <w:tcW w:w="1857"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bezuvjetno</w:t>
            </w:r>
          </w:p>
        </w:tc>
        <w:tc>
          <w:tcPr>
            <w:tcW w:w="1803"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bezuvjetno</w:t>
            </w:r>
          </w:p>
        </w:tc>
      </w:tr>
      <w:tr w:rsidR="00E0299A" w:rsidRPr="002E2858" w:rsidTr="006520C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jc w:val="center"/>
              <w:rPr>
                <w:rFonts w:cs="Arial"/>
                <w:sz w:val="22"/>
                <w:szCs w:val="22"/>
                <w:lang w:eastAsia="en-US"/>
              </w:rPr>
            </w:pPr>
            <w:r w:rsidRPr="002E2858">
              <w:rPr>
                <w:rFonts w:cs="Arial"/>
                <w:sz w:val="22"/>
                <w:szCs w:val="22"/>
                <w:lang w:eastAsia="en-US"/>
              </w:rPr>
              <w:lastRenderedPageBreak/>
              <w:t>5.</w:t>
            </w:r>
          </w:p>
        </w:tc>
        <w:tc>
          <w:tcPr>
            <w:tcW w:w="5002"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pStyle w:val="Tijeloteksta"/>
              <w:kinsoku w:val="0"/>
              <w:overflowPunct w:val="0"/>
              <w:jc w:val="both"/>
              <w:rPr>
                <w:rFonts w:ascii="Arial" w:hAnsi="Arial" w:cs="Arial"/>
                <w:sz w:val="22"/>
                <w:szCs w:val="22"/>
              </w:rPr>
            </w:pPr>
            <w:r w:rsidRPr="002E2858">
              <w:rPr>
                <w:rFonts w:ascii="Arial" w:hAnsi="Arial" w:cs="Arial"/>
                <w:sz w:val="22"/>
                <w:szCs w:val="22"/>
              </w:rPr>
              <w:t>Zdravstvena ustanova Ljekarna Dubrovnik</w:t>
            </w:r>
          </w:p>
        </w:tc>
        <w:tc>
          <w:tcPr>
            <w:tcW w:w="1857"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uvjetno</w:t>
            </w:r>
          </w:p>
        </w:tc>
      </w:tr>
      <w:tr w:rsidR="00E0299A" w:rsidRPr="002E2858" w:rsidTr="006520C8">
        <w:trPr>
          <w:trHeight w:val="320"/>
        </w:trPr>
        <w:tc>
          <w:tcPr>
            <w:tcW w:w="966"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jc w:val="center"/>
              <w:rPr>
                <w:rFonts w:cs="Arial"/>
                <w:sz w:val="22"/>
                <w:szCs w:val="22"/>
                <w:lang w:eastAsia="en-US"/>
              </w:rPr>
            </w:pPr>
            <w:r w:rsidRPr="002E2858">
              <w:rPr>
                <w:rFonts w:cs="Arial"/>
                <w:sz w:val="22"/>
                <w:szCs w:val="22"/>
                <w:lang w:eastAsia="en-US"/>
              </w:rPr>
              <w:t xml:space="preserve">6. </w:t>
            </w:r>
          </w:p>
        </w:tc>
        <w:tc>
          <w:tcPr>
            <w:tcW w:w="5002" w:type="dxa"/>
            <w:tcBorders>
              <w:top w:val="single" w:sz="4" w:space="0" w:color="auto"/>
              <w:left w:val="single" w:sz="4" w:space="0" w:color="auto"/>
              <w:bottom w:val="single" w:sz="4" w:space="0" w:color="auto"/>
              <w:right w:val="single" w:sz="4" w:space="0" w:color="auto"/>
            </w:tcBorders>
            <w:vAlign w:val="center"/>
            <w:hideMark/>
          </w:tcPr>
          <w:p w:rsidR="00E0299A" w:rsidRPr="002E2858" w:rsidRDefault="00E0299A" w:rsidP="00E0299A">
            <w:pPr>
              <w:pStyle w:val="Tijeloteksta"/>
              <w:kinsoku w:val="0"/>
              <w:overflowPunct w:val="0"/>
              <w:jc w:val="both"/>
              <w:rPr>
                <w:rFonts w:ascii="Arial" w:hAnsi="Arial" w:cs="Arial"/>
                <w:sz w:val="22"/>
                <w:szCs w:val="22"/>
              </w:rPr>
            </w:pPr>
            <w:r w:rsidRPr="002E2858">
              <w:rPr>
                <w:rFonts w:ascii="Arial" w:hAnsi="Arial" w:cs="Arial"/>
                <w:sz w:val="22"/>
                <w:szCs w:val="22"/>
              </w:rPr>
              <w:t>Zlatna luka Sukošan d.o.o.</w:t>
            </w:r>
          </w:p>
        </w:tc>
        <w:tc>
          <w:tcPr>
            <w:tcW w:w="1857"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uvjetno</w:t>
            </w:r>
          </w:p>
        </w:tc>
        <w:tc>
          <w:tcPr>
            <w:tcW w:w="1803" w:type="dxa"/>
            <w:tcBorders>
              <w:top w:val="single" w:sz="4" w:space="0" w:color="auto"/>
              <w:left w:val="single" w:sz="4" w:space="0" w:color="auto"/>
              <w:bottom w:val="single" w:sz="4" w:space="0" w:color="auto"/>
              <w:right w:val="single" w:sz="4" w:space="0" w:color="auto"/>
            </w:tcBorders>
          </w:tcPr>
          <w:p w:rsidR="00E0299A" w:rsidRDefault="00E0299A" w:rsidP="00E0299A">
            <w:pPr>
              <w:jc w:val="center"/>
            </w:pPr>
            <w:r w:rsidRPr="00B57757">
              <w:rPr>
                <w:rFonts w:cs="Arial"/>
                <w:sz w:val="22"/>
                <w:szCs w:val="22"/>
                <w:lang w:eastAsia="en-US"/>
              </w:rPr>
              <w:t>uvjetno</w:t>
            </w:r>
          </w:p>
        </w:tc>
      </w:tr>
    </w:tbl>
    <w:p w:rsidR="00AC777E" w:rsidRDefault="00AC777E" w:rsidP="00CC3259">
      <w:pPr>
        <w:rPr>
          <w:rFonts w:cs="Arial"/>
          <w:b/>
          <w:sz w:val="22"/>
          <w:szCs w:val="22"/>
        </w:rPr>
      </w:pPr>
    </w:p>
    <w:sectPr w:rsidR="00AC777E" w:rsidSect="000C3031">
      <w:headerReference w:type="default" r:id="rId11"/>
      <w:type w:val="continuous"/>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7CE" w:rsidRDefault="007327CE" w:rsidP="00952B63">
      <w:r>
        <w:separator/>
      </w:r>
    </w:p>
  </w:endnote>
  <w:endnote w:type="continuationSeparator" w:id="0">
    <w:p w:rsidR="007327CE" w:rsidRDefault="007327CE"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7CE" w:rsidRDefault="007327CE" w:rsidP="00952B63">
      <w:r>
        <w:separator/>
      </w:r>
    </w:p>
  </w:footnote>
  <w:footnote w:type="continuationSeparator" w:id="0">
    <w:p w:rsidR="007327CE" w:rsidRDefault="007327CE" w:rsidP="0095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0C8" w:rsidRDefault="006520C8">
    <w:pPr>
      <w:pStyle w:val="Zaglavlje"/>
      <w:jc w:val="center"/>
    </w:pPr>
  </w:p>
  <w:p w:rsidR="006520C8" w:rsidRDefault="006520C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13F"/>
    <w:multiLevelType w:val="hybridMultilevel"/>
    <w:tmpl w:val="4BA8F61A"/>
    <w:lvl w:ilvl="0" w:tplc="041A0001">
      <w:start w:val="1"/>
      <w:numFmt w:val="bullet"/>
      <w:lvlText w:val=""/>
      <w:lvlJc w:val="left"/>
      <w:pPr>
        <w:ind w:left="1211" w:hanging="360"/>
      </w:pPr>
      <w:rPr>
        <w:rFonts w:ascii="Symbol" w:hAnsi="Symbol" w:hint="default"/>
      </w:rPr>
    </w:lvl>
    <w:lvl w:ilvl="1" w:tplc="041A0003">
      <w:start w:val="1"/>
      <w:numFmt w:val="bullet"/>
      <w:lvlText w:val="o"/>
      <w:lvlJc w:val="left"/>
      <w:pPr>
        <w:ind w:left="2211" w:hanging="360"/>
      </w:pPr>
      <w:rPr>
        <w:rFonts w:ascii="Courier New" w:hAnsi="Courier New" w:cs="Courier New" w:hint="default"/>
      </w:rPr>
    </w:lvl>
    <w:lvl w:ilvl="2" w:tplc="041A0005">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1" w15:restartNumberingAfterBreak="0">
    <w:nsid w:val="01D8603B"/>
    <w:multiLevelType w:val="hybridMultilevel"/>
    <w:tmpl w:val="F82A0FA6"/>
    <w:lvl w:ilvl="0" w:tplc="041A0001">
      <w:start w:val="1"/>
      <w:numFmt w:val="bullet"/>
      <w:lvlText w:val=""/>
      <w:lvlJc w:val="left"/>
      <w:pPr>
        <w:ind w:left="1284" w:hanging="360"/>
      </w:pPr>
      <w:rPr>
        <w:rFonts w:ascii="Symbol" w:hAnsi="Symbol" w:hint="default"/>
      </w:rPr>
    </w:lvl>
    <w:lvl w:ilvl="1" w:tplc="041A0003" w:tentative="1">
      <w:start w:val="1"/>
      <w:numFmt w:val="bullet"/>
      <w:lvlText w:val="o"/>
      <w:lvlJc w:val="left"/>
      <w:pPr>
        <w:ind w:left="2004" w:hanging="360"/>
      </w:pPr>
      <w:rPr>
        <w:rFonts w:ascii="Courier New" w:hAnsi="Courier New" w:cs="Courier New" w:hint="default"/>
      </w:rPr>
    </w:lvl>
    <w:lvl w:ilvl="2" w:tplc="041A0005" w:tentative="1">
      <w:start w:val="1"/>
      <w:numFmt w:val="bullet"/>
      <w:lvlText w:val=""/>
      <w:lvlJc w:val="left"/>
      <w:pPr>
        <w:ind w:left="2724" w:hanging="360"/>
      </w:pPr>
      <w:rPr>
        <w:rFonts w:ascii="Wingdings" w:hAnsi="Wingdings" w:hint="default"/>
      </w:rPr>
    </w:lvl>
    <w:lvl w:ilvl="3" w:tplc="041A0001" w:tentative="1">
      <w:start w:val="1"/>
      <w:numFmt w:val="bullet"/>
      <w:lvlText w:val=""/>
      <w:lvlJc w:val="left"/>
      <w:pPr>
        <w:ind w:left="3444" w:hanging="360"/>
      </w:pPr>
      <w:rPr>
        <w:rFonts w:ascii="Symbol" w:hAnsi="Symbol" w:hint="default"/>
      </w:rPr>
    </w:lvl>
    <w:lvl w:ilvl="4" w:tplc="041A0003" w:tentative="1">
      <w:start w:val="1"/>
      <w:numFmt w:val="bullet"/>
      <w:lvlText w:val="o"/>
      <w:lvlJc w:val="left"/>
      <w:pPr>
        <w:ind w:left="4164" w:hanging="360"/>
      </w:pPr>
      <w:rPr>
        <w:rFonts w:ascii="Courier New" w:hAnsi="Courier New" w:cs="Courier New" w:hint="default"/>
      </w:rPr>
    </w:lvl>
    <w:lvl w:ilvl="5" w:tplc="041A0005" w:tentative="1">
      <w:start w:val="1"/>
      <w:numFmt w:val="bullet"/>
      <w:lvlText w:val=""/>
      <w:lvlJc w:val="left"/>
      <w:pPr>
        <w:ind w:left="4884" w:hanging="360"/>
      </w:pPr>
      <w:rPr>
        <w:rFonts w:ascii="Wingdings" w:hAnsi="Wingdings" w:hint="default"/>
      </w:rPr>
    </w:lvl>
    <w:lvl w:ilvl="6" w:tplc="041A0001" w:tentative="1">
      <w:start w:val="1"/>
      <w:numFmt w:val="bullet"/>
      <w:lvlText w:val=""/>
      <w:lvlJc w:val="left"/>
      <w:pPr>
        <w:ind w:left="5604" w:hanging="360"/>
      </w:pPr>
      <w:rPr>
        <w:rFonts w:ascii="Symbol" w:hAnsi="Symbol" w:hint="default"/>
      </w:rPr>
    </w:lvl>
    <w:lvl w:ilvl="7" w:tplc="041A0003" w:tentative="1">
      <w:start w:val="1"/>
      <w:numFmt w:val="bullet"/>
      <w:lvlText w:val="o"/>
      <w:lvlJc w:val="left"/>
      <w:pPr>
        <w:ind w:left="6324" w:hanging="360"/>
      </w:pPr>
      <w:rPr>
        <w:rFonts w:ascii="Courier New" w:hAnsi="Courier New" w:cs="Courier New" w:hint="default"/>
      </w:rPr>
    </w:lvl>
    <w:lvl w:ilvl="8" w:tplc="041A0005" w:tentative="1">
      <w:start w:val="1"/>
      <w:numFmt w:val="bullet"/>
      <w:lvlText w:val=""/>
      <w:lvlJc w:val="left"/>
      <w:pPr>
        <w:ind w:left="7044" w:hanging="360"/>
      </w:pPr>
      <w:rPr>
        <w:rFonts w:ascii="Wingdings" w:hAnsi="Wingdings" w:hint="default"/>
      </w:rPr>
    </w:lvl>
  </w:abstractNum>
  <w:abstractNum w:abstractNumId="2" w15:restartNumberingAfterBreak="0">
    <w:nsid w:val="059F5E40"/>
    <w:multiLevelType w:val="hybridMultilevel"/>
    <w:tmpl w:val="591E2898"/>
    <w:lvl w:ilvl="0" w:tplc="ABFA184C">
      <w:start w:val="1"/>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A96797"/>
    <w:multiLevelType w:val="hybridMultilevel"/>
    <w:tmpl w:val="ADAC0DE0"/>
    <w:lvl w:ilvl="0" w:tplc="B160608A">
      <w:start w:val="2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2A31D0F"/>
    <w:multiLevelType w:val="hybridMultilevel"/>
    <w:tmpl w:val="F8429814"/>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5" w15:restartNumberingAfterBreak="0">
    <w:nsid w:val="154817AB"/>
    <w:multiLevelType w:val="hybridMultilevel"/>
    <w:tmpl w:val="97787DD4"/>
    <w:lvl w:ilvl="0" w:tplc="BF42DF5E">
      <w:start w:val="18"/>
      <w:numFmt w:val="bullet"/>
      <w:lvlText w:val="–"/>
      <w:lvlJc w:val="left"/>
      <w:pPr>
        <w:ind w:left="1211" w:hanging="360"/>
      </w:pPr>
      <w:rPr>
        <w:rFonts w:ascii="Arial" w:eastAsia="Times New Roman" w:hAnsi="Arial" w:cs="Arial" w:hint="default"/>
      </w:rPr>
    </w:lvl>
    <w:lvl w:ilvl="1" w:tplc="041A0003">
      <w:start w:val="1"/>
      <w:numFmt w:val="bullet"/>
      <w:lvlText w:val="o"/>
      <w:lvlJc w:val="left"/>
      <w:pPr>
        <w:ind w:left="2211" w:hanging="360"/>
      </w:pPr>
      <w:rPr>
        <w:rFonts w:ascii="Courier New" w:hAnsi="Courier New" w:cs="Courier New" w:hint="default"/>
      </w:rPr>
    </w:lvl>
    <w:lvl w:ilvl="2" w:tplc="041A0005">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6" w15:restartNumberingAfterBreak="0">
    <w:nsid w:val="16F57106"/>
    <w:multiLevelType w:val="hybridMultilevel"/>
    <w:tmpl w:val="81D066A6"/>
    <w:lvl w:ilvl="0" w:tplc="5BF07D14">
      <w:start w:val="1"/>
      <w:numFmt w:val="bullet"/>
      <w:lvlText w:val="‣"/>
      <w:lvlJc w:val="left"/>
      <w:pPr>
        <w:ind w:left="1284" w:hanging="360"/>
      </w:pPr>
      <w:rPr>
        <w:rFonts w:ascii="Arial" w:hAnsi="Arial" w:cs="Arial" w:hint="default"/>
      </w:rPr>
    </w:lvl>
    <w:lvl w:ilvl="1" w:tplc="041A0003" w:tentative="1">
      <w:start w:val="1"/>
      <w:numFmt w:val="bullet"/>
      <w:lvlText w:val="o"/>
      <w:lvlJc w:val="left"/>
      <w:pPr>
        <w:ind w:left="2004" w:hanging="360"/>
      </w:pPr>
      <w:rPr>
        <w:rFonts w:ascii="Courier New" w:hAnsi="Courier New" w:cs="Courier New" w:hint="default"/>
      </w:rPr>
    </w:lvl>
    <w:lvl w:ilvl="2" w:tplc="041A0005" w:tentative="1">
      <w:start w:val="1"/>
      <w:numFmt w:val="bullet"/>
      <w:lvlText w:val=""/>
      <w:lvlJc w:val="left"/>
      <w:pPr>
        <w:ind w:left="2724" w:hanging="360"/>
      </w:pPr>
      <w:rPr>
        <w:rFonts w:ascii="Wingdings" w:hAnsi="Wingdings" w:hint="default"/>
      </w:rPr>
    </w:lvl>
    <w:lvl w:ilvl="3" w:tplc="041A0001" w:tentative="1">
      <w:start w:val="1"/>
      <w:numFmt w:val="bullet"/>
      <w:lvlText w:val=""/>
      <w:lvlJc w:val="left"/>
      <w:pPr>
        <w:ind w:left="3444" w:hanging="360"/>
      </w:pPr>
      <w:rPr>
        <w:rFonts w:ascii="Symbol" w:hAnsi="Symbol" w:hint="default"/>
      </w:rPr>
    </w:lvl>
    <w:lvl w:ilvl="4" w:tplc="041A0003" w:tentative="1">
      <w:start w:val="1"/>
      <w:numFmt w:val="bullet"/>
      <w:lvlText w:val="o"/>
      <w:lvlJc w:val="left"/>
      <w:pPr>
        <w:ind w:left="4164" w:hanging="360"/>
      </w:pPr>
      <w:rPr>
        <w:rFonts w:ascii="Courier New" w:hAnsi="Courier New" w:cs="Courier New" w:hint="default"/>
      </w:rPr>
    </w:lvl>
    <w:lvl w:ilvl="5" w:tplc="041A0005" w:tentative="1">
      <w:start w:val="1"/>
      <w:numFmt w:val="bullet"/>
      <w:lvlText w:val=""/>
      <w:lvlJc w:val="left"/>
      <w:pPr>
        <w:ind w:left="4884" w:hanging="360"/>
      </w:pPr>
      <w:rPr>
        <w:rFonts w:ascii="Wingdings" w:hAnsi="Wingdings" w:hint="default"/>
      </w:rPr>
    </w:lvl>
    <w:lvl w:ilvl="6" w:tplc="041A0001" w:tentative="1">
      <w:start w:val="1"/>
      <w:numFmt w:val="bullet"/>
      <w:lvlText w:val=""/>
      <w:lvlJc w:val="left"/>
      <w:pPr>
        <w:ind w:left="5604" w:hanging="360"/>
      </w:pPr>
      <w:rPr>
        <w:rFonts w:ascii="Symbol" w:hAnsi="Symbol" w:hint="default"/>
      </w:rPr>
    </w:lvl>
    <w:lvl w:ilvl="7" w:tplc="041A0003" w:tentative="1">
      <w:start w:val="1"/>
      <w:numFmt w:val="bullet"/>
      <w:lvlText w:val="o"/>
      <w:lvlJc w:val="left"/>
      <w:pPr>
        <w:ind w:left="6324" w:hanging="360"/>
      </w:pPr>
      <w:rPr>
        <w:rFonts w:ascii="Courier New" w:hAnsi="Courier New" w:cs="Courier New" w:hint="default"/>
      </w:rPr>
    </w:lvl>
    <w:lvl w:ilvl="8" w:tplc="041A0005" w:tentative="1">
      <w:start w:val="1"/>
      <w:numFmt w:val="bullet"/>
      <w:lvlText w:val=""/>
      <w:lvlJc w:val="left"/>
      <w:pPr>
        <w:ind w:left="7044" w:hanging="360"/>
      </w:pPr>
      <w:rPr>
        <w:rFonts w:ascii="Wingdings" w:hAnsi="Wingdings" w:hint="default"/>
      </w:rPr>
    </w:lvl>
  </w:abstractNum>
  <w:abstractNum w:abstractNumId="7" w15:restartNumberingAfterBreak="0">
    <w:nsid w:val="1B9D00D3"/>
    <w:multiLevelType w:val="hybridMultilevel"/>
    <w:tmpl w:val="A59CD0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E406FE"/>
    <w:multiLevelType w:val="hybridMultilevel"/>
    <w:tmpl w:val="DEC47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0E7B37"/>
    <w:multiLevelType w:val="hybridMultilevel"/>
    <w:tmpl w:val="8FBCB8AA"/>
    <w:lvl w:ilvl="0" w:tplc="97703E32">
      <w:numFmt w:val="bullet"/>
      <w:lvlText w:val="–"/>
      <w:lvlJc w:val="left"/>
      <w:pPr>
        <w:ind w:left="1287" w:hanging="360"/>
      </w:pPr>
      <w:rPr>
        <w:rFonts w:ascii="Arial" w:eastAsiaTheme="minorHAnsi"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262B685E"/>
    <w:multiLevelType w:val="hybridMultilevel"/>
    <w:tmpl w:val="8E0AB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5D07F4"/>
    <w:multiLevelType w:val="hybridMultilevel"/>
    <w:tmpl w:val="9B66FDE2"/>
    <w:lvl w:ilvl="0" w:tplc="65ACDEEE">
      <w:numFmt w:val="bullet"/>
      <w:lvlText w:val="–"/>
      <w:lvlJc w:val="left"/>
      <w:pPr>
        <w:ind w:left="720" w:hanging="360"/>
      </w:pPr>
      <w:rPr>
        <w:rFonts w:ascii="Arial" w:eastAsiaTheme="minorHAnsi" w:hAnsi="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515789"/>
    <w:multiLevelType w:val="hybridMultilevel"/>
    <w:tmpl w:val="E0AE2A94"/>
    <w:lvl w:ilvl="0" w:tplc="C6B218AC">
      <w:start w:val="1"/>
      <w:numFmt w:val="bullet"/>
      <w:pStyle w:val="StilBulletCrtica"/>
      <w:lvlText w:val=""/>
      <w:lvlJc w:val="left"/>
      <w:pPr>
        <w:ind w:left="36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A4073A6"/>
    <w:multiLevelType w:val="hybridMultilevel"/>
    <w:tmpl w:val="D2161F2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4713660B"/>
    <w:multiLevelType w:val="hybridMultilevel"/>
    <w:tmpl w:val="DD848C00"/>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5" w15:restartNumberingAfterBreak="0">
    <w:nsid w:val="473621B4"/>
    <w:multiLevelType w:val="hybridMultilevel"/>
    <w:tmpl w:val="33521846"/>
    <w:lvl w:ilvl="0" w:tplc="F5740A22">
      <w:numFmt w:val="bullet"/>
      <w:lvlText w:val="–"/>
      <w:lvlJc w:val="left"/>
      <w:pPr>
        <w:ind w:left="930" w:hanging="360"/>
      </w:pPr>
      <w:rPr>
        <w:rFonts w:ascii="Bookman Old Style" w:eastAsia="Calibri" w:hAnsi="Bookman Old Style" w:cs="Times New Roman" w:hint="default"/>
        <w:sz w:val="24"/>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6" w15:restartNumberingAfterBreak="0">
    <w:nsid w:val="47A679C1"/>
    <w:multiLevelType w:val="hybridMultilevel"/>
    <w:tmpl w:val="C1989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7B74182"/>
    <w:multiLevelType w:val="hybridMultilevel"/>
    <w:tmpl w:val="7D5CB436"/>
    <w:lvl w:ilvl="0" w:tplc="97703E3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596304CE"/>
    <w:multiLevelType w:val="hybridMultilevel"/>
    <w:tmpl w:val="D5584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03227D6"/>
    <w:multiLevelType w:val="hybridMultilevel"/>
    <w:tmpl w:val="59021D46"/>
    <w:lvl w:ilvl="0" w:tplc="53488980">
      <w:start w:val="16"/>
      <w:numFmt w:val="decimal"/>
      <w:lvlText w:val="%1"/>
      <w:lvlJc w:val="left"/>
      <w:pPr>
        <w:ind w:left="927" w:hanging="36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start w:val="1"/>
      <w:numFmt w:val="decimal"/>
      <w:lvlText w:val="%4."/>
      <w:lvlJc w:val="left"/>
      <w:pPr>
        <w:ind w:left="3087" w:hanging="360"/>
      </w:pPr>
    </w:lvl>
    <w:lvl w:ilvl="4" w:tplc="041A0019">
      <w:start w:val="1"/>
      <w:numFmt w:val="lowerLetter"/>
      <w:lvlText w:val="%5."/>
      <w:lvlJc w:val="left"/>
      <w:pPr>
        <w:ind w:left="3807" w:hanging="360"/>
      </w:pPr>
    </w:lvl>
    <w:lvl w:ilvl="5" w:tplc="041A001B">
      <w:start w:val="1"/>
      <w:numFmt w:val="lowerRoman"/>
      <w:lvlText w:val="%6."/>
      <w:lvlJc w:val="right"/>
      <w:pPr>
        <w:ind w:left="4527" w:hanging="180"/>
      </w:pPr>
    </w:lvl>
    <w:lvl w:ilvl="6" w:tplc="041A000F">
      <w:start w:val="1"/>
      <w:numFmt w:val="decimal"/>
      <w:lvlText w:val="%7."/>
      <w:lvlJc w:val="left"/>
      <w:pPr>
        <w:ind w:left="5247" w:hanging="360"/>
      </w:pPr>
    </w:lvl>
    <w:lvl w:ilvl="7" w:tplc="041A0019">
      <w:start w:val="1"/>
      <w:numFmt w:val="lowerLetter"/>
      <w:lvlText w:val="%8."/>
      <w:lvlJc w:val="left"/>
      <w:pPr>
        <w:ind w:left="5967" w:hanging="360"/>
      </w:pPr>
    </w:lvl>
    <w:lvl w:ilvl="8" w:tplc="041A001B">
      <w:start w:val="1"/>
      <w:numFmt w:val="lowerRoman"/>
      <w:lvlText w:val="%9."/>
      <w:lvlJc w:val="right"/>
      <w:pPr>
        <w:ind w:left="6687" w:hanging="180"/>
      </w:pPr>
    </w:lvl>
  </w:abstractNum>
  <w:abstractNum w:abstractNumId="20" w15:restartNumberingAfterBreak="0">
    <w:nsid w:val="70D2712E"/>
    <w:multiLevelType w:val="hybridMultilevel"/>
    <w:tmpl w:val="442259EC"/>
    <w:lvl w:ilvl="0" w:tplc="841C9DB2">
      <w:numFmt w:val="bullet"/>
      <w:lvlText w:val="–"/>
      <w:lvlJc w:val="left"/>
      <w:pPr>
        <w:ind w:left="927" w:hanging="360"/>
      </w:pPr>
      <w:rPr>
        <w:rFonts w:ascii="Arial" w:eastAsia="Calibri"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1" w15:restartNumberingAfterBreak="0">
    <w:nsid w:val="78047E72"/>
    <w:multiLevelType w:val="hybridMultilevel"/>
    <w:tmpl w:val="96ACCACA"/>
    <w:lvl w:ilvl="0" w:tplc="96247F1A">
      <w:start w:val="2"/>
      <w:numFmt w:val="bullet"/>
      <w:lvlText w:val="–"/>
      <w:lvlJc w:val="left"/>
      <w:pPr>
        <w:ind w:left="2412" w:hanging="360"/>
      </w:pPr>
      <w:rPr>
        <w:rFonts w:ascii="Arial" w:eastAsia="Times New Roman" w:hAnsi="Arial" w:cs="Arial" w:hint="default"/>
      </w:rPr>
    </w:lvl>
    <w:lvl w:ilvl="1" w:tplc="041A0003">
      <w:start w:val="1"/>
      <w:numFmt w:val="bullet"/>
      <w:lvlText w:val="o"/>
      <w:lvlJc w:val="left"/>
      <w:pPr>
        <w:ind w:left="3132" w:hanging="360"/>
      </w:pPr>
      <w:rPr>
        <w:rFonts w:ascii="Courier New" w:hAnsi="Courier New" w:cs="Courier New" w:hint="default"/>
      </w:rPr>
    </w:lvl>
    <w:lvl w:ilvl="2" w:tplc="041A0005" w:tentative="1">
      <w:start w:val="1"/>
      <w:numFmt w:val="bullet"/>
      <w:lvlText w:val=""/>
      <w:lvlJc w:val="left"/>
      <w:pPr>
        <w:ind w:left="3852" w:hanging="360"/>
      </w:pPr>
      <w:rPr>
        <w:rFonts w:ascii="Wingdings" w:hAnsi="Wingdings" w:hint="default"/>
      </w:rPr>
    </w:lvl>
    <w:lvl w:ilvl="3" w:tplc="041A0001" w:tentative="1">
      <w:start w:val="1"/>
      <w:numFmt w:val="bullet"/>
      <w:lvlText w:val=""/>
      <w:lvlJc w:val="left"/>
      <w:pPr>
        <w:ind w:left="4572" w:hanging="360"/>
      </w:pPr>
      <w:rPr>
        <w:rFonts w:ascii="Symbol" w:hAnsi="Symbol" w:hint="default"/>
      </w:rPr>
    </w:lvl>
    <w:lvl w:ilvl="4" w:tplc="041A0003" w:tentative="1">
      <w:start w:val="1"/>
      <w:numFmt w:val="bullet"/>
      <w:lvlText w:val="o"/>
      <w:lvlJc w:val="left"/>
      <w:pPr>
        <w:ind w:left="5292" w:hanging="360"/>
      </w:pPr>
      <w:rPr>
        <w:rFonts w:ascii="Courier New" w:hAnsi="Courier New" w:cs="Courier New" w:hint="default"/>
      </w:rPr>
    </w:lvl>
    <w:lvl w:ilvl="5" w:tplc="041A0005" w:tentative="1">
      <w:start w:val="1"/>
      <w:numFmt w:val="bullet"/>
      <w:lvlText w:val=""/>
      <w:lvlJc w:val="left"/>
      <w:pPr>
        <w:ind w:left="6012" w:hanging="360"/>
      </w:pPr>
      <w:rPr>
        <w:rFonts w:ascii="Wingdings" w:hAnsi="Wingdings" w:hint="default"/>
      </w:rPr>
    </w:lvl>
    <w:lvl w:ilvl="6" w:tplc="041A0001" w:tentative="1">
      <w:start w:val="1"/>
      <w:numFmt w:val="bullet"/>
      <w:lvlText w:val=""/>
      <w:lvlJc w:val="left"/>
      <w:pPr>
        <w:ind w:left="6732" w:hanging="360"/>
      </w:pPr>
      <w:rPr>
        <w:rFonts w:ascii="Symbol" w:hAnsi="Symbol" w:hint="default"/>
      </w:rPr>
    </w:lvl>
    <w:lvl w:ilvl="7" w:tplc="041A0003" w:tentative="1">
      <w:start w:val="1"/>
      <w:numFmt w:val="bullet"/>
      <w:lvlText w:val="o"/>
      <w:lvlJc w:val="left"/>
      <w:pPr>
        <w:ind w:left="7452" w:hanging="360"/>
      </w:pPr>
      <w:rPr>
        <w:rFonts w:ascii="Courier New" w:hAnsi="Courier New" w:cs="Courier New" w:hint="default"/>
      </w:rPr>
    </w:lvl>
    <w:lvl w:ilvl="8" w:tplc="041A0005" w:tentative="1">
      <w:start w:val="1"/>
      <w:numFmt w:val="bullet"/>
      <w:lvlText w:val=""/>
      <w:lvlJc w:val="left"/>
      <w:pPr>
        <w:ind w:left="8172" w:hanging="360"/>
      </w:pPr>
      <w:rPr>
        <w:rFonts w:ascii="Wingdings" w:hAnsi="Wingdings" w:hint="default"/>
      </w:rPr>
    </w:lvl>
  </w:abstractNum>
  <w:abstractNum w:abstractNumId="22" w15:restartNumberingAfterBreak="0">
    <w:nsid w:val="7FF125ED"/>
    <w:multiLevelType w:val="hybridMultilevel"/>
    <w:tmpl w:val="5E0C4BD6"/>
    <w:lvl w:ilvl="0" w:tplc="5BF07D14">
      <w:start w:val="1"/>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6"/>
  </w:num>
  <w:num w:numId="4">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5"/>
  </w:num>
  <w:num w:numId="8">
    <w:abstractNumId w:val="19"/>
  </w:num>
  <w:num w:numId="9">
    <w:abstractNumId w:val="0"/>
  </w:num>
  <w:num w:numId="10">
    <w:abstractNumId w:val="7"/>
  </w:num>
  <w:num w:numId="11">
    <w:abstractNumId w:val="6"/>
  </w:num>
  <w:num w:numId="12">
    <w:abstractNumId w:val="2"/>
  </w:num>
  <w:num w:numId="13">
    <w:abstractNumId w:val="10"/>
  </w:num>
  <w:num w:numId="14">
    <w:abstractNumId w:val="18"/>
  </w:num>
  <w:num w:numId="15">
    <w:abstractNumId w:val="8"/>
  </w:num>
  <w:num w:numId="16">
    <w:abstractNumId w:val="14"/>
  </w:num>
  <w:num w:numId="17">
    <w:abstractNumId w:val="17"/>
  </w:num>
  <w:num w:numId="18">
    <w:abstractNumId w:val="22"/>
  </w:num>
  <w:num w:numId="19">
    <w:abstractNumId w:val="13"/>
  </w:num>
  <w:num w:numId="20">
    <w:abstractNumId w:val="9"/>
  </w:num>
  <w:num w:numId="21">
    <w:abstractNumId w:val="4"/>
  </w:num>
  <w:num w:numId="22">
    <w:abstractNumId w:val="15"/>
  </w:num>
  <w:num w:numId="23">
    <w:abstractNumId w:val="21"/>
  </w:num>
  <w:num w:numId="24">
    <w:abstractNumId w:val="20"/>
  </w:num>
  <w:num w:numId="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03F5"/>
    <w:rsid w:val="000032B5"/>
    <w:rsid w:val="000057C9"/>
    <w:rsid w:val="00005CD2"/>
    <w:rsid w:val="00006488"/>
    <w:rsid w:val="00010004"/>
    <w:rsid w:val="000123EB"/>
    <w:rsid w:val="0001394A"/>
    <w:rsid w:val="000141BC"/>
    <w:rsid w:val="000206A8"/>
    <w:rsid w:val="0002749E"/>
    <w:rsid w:val="00030DE6"/>
    <w:rsid w:val="000335E8"/>
    <w:rsid w:val="000336F3"/>
    <w:rsid w:val="0003386E"/>
    <w:rsid w:val="0003398F"/>
    <w:rsid w:val="00033C40"/>
    <w:rsid w:val="0003489E"/>
    <w:rsid w:val="00035F8E"/>
    <w:rsid w:val="00036227"/>
    <w:rsid w:val="0004186B"/>
    <w:rsid w:val="000430C7"/>
    <w:rsid w:val="00043311"/>
    <w:rsid w:val="00044F11"/>
    <w:rsid w:val="000517BE"/>
    <w:rsid w:val="0005373B"/>
    <w:rsid w:val="00055DE4"/>
    <w:rsid w:val="000635BB"/>
    <w:rsid w:val="000639EB"/>
    <w:rsid w:val="000653AD"/>
    <w:rsid w:val="00065FBB"/>
    <w:rsid w:val="00066EBE"/>
    <w:rsid w:val="000678CC"/>
    <w:rsid w:val="00070056"/>
    <w:rsid w:val="00070B5D"/>
    <w:rsid w:val="00071FC0"/>
    <w:rsid w:val="00072589"/>
    <w:rsid w:val="00072769"/>
    <w:rsid w:val="0007348C"/>
    <w:rsid w:val="00073565"/>
    <w:rsid w:val="00073D66"/>
    <w:rsid w:val="00075215"/>
    <w:rsid w:val="0007650D"/>
    <w:rsid w:val="00080E20"/>
    <w:rsid w:val="00081BBB"/>
    <w:rsid w:val="00084FA5"/>
    <w:rsid w:val="00085FBB"/>
    <w:rsid w:val="0008600E"/>
    <w:rsid w:val="000863B7"/>
    <w:rsid w:val="00086EDD"/>
    <w:rsid w:val="00090AF8"/>
    <w:rsid w:val="00091A9B"/>
    <w:rsid w:val="000922E3"/>
    <w:rsid w:val="00094103"/>
    <w:rsid w:val="000948C5"/>
    <w:rsid w:val="000A28CC"/>
    <w:rsid w:val="000A29AD"/>
    <w:rsid w:val="000A3C4B"/>
    <w:rsid w:val="000A3FB4"/>
    <w:rsid w:val="000A77CA"/>
    <w:rsid w:val="000B123C"/>
    <w:rsid w:val="000B396B"/>
    <w:rsid w:val="000B4B36"/>
    <w:rsid w:val="000B5B5C"/>
    <w:rsid w:val="000B773D"/>
    <w:rsid w:val="000B7986"/>
    <w:rsid w:val="000B7B7D"/>
    <w:rsid w:val="000B7CCE"/>
    <w:rsid w:val="000B7CFD"/>
    <w:rsid w:val="000C02F2"/>
    <w:rsid w:val="000C20C9"/>
    <w:rsid w:val="000C3031"/>
    <w:rsid w:val="000C4307"/>
    <w:rsid w:val="000C6CC8"/>
    <w:rsid w:val="000C7029"/>
    <w:rsid w:val="000D06C9"/>
    <w:rsid w:val="000D1E81"/>
    <w:rsid w:val="000D2240"/>
    <w:rsid w:val="000D2742"/>
    <w:rsid w:val="000D494C"/>
    <w:rsid w:val="000D4D51"/>
    <w:rsid w:val="000D5AAE"/>
    <w:rsid w:val="000D5D5A"/>
    <w:rsid w:val="000D7EE5"/>
    <w:rsid w:val="000E0084"/>
    <w:rsid w:val="000E220E"/>
    <w:rsid w:val="000E5ADF"/>
    <w:rsid w:val="000F30C1"/>
    <w:rsid w:val="000F44D6"/>
    <w:rsid w:val="000F645E"/>
    <w:rsid w:val="000F64F7"/>
    <w:rsid w:val="000F692B"/>
    <w:rsid w:val="000F74EB"/>
    <w:rsid w:val="000F76D6"/>
    <w:rsid w:val="001006DA"/>
    <w:rsid w:val="00101AD7"/>
    <w:rsid w:val="00101DAD"/>
    <w:rsid w:val="00101FA9"/>
    <w:rsid w:val="001037B9"/>
    <w:rsid w:val="00103A80"/>
    <w:rsid w:val="00103E93"/>
    <w:rsid w:val="001041E0"/>
    <w:rsid w:val="001052E2"/>
    <w:rsid w:val="00114291"/>
    <w:rsid w:val="00115C5B"/>
    <w:rsid w:val="0011744E"/>
    <w:rsid w:val="00120549"/>
    <w:rsid w:val="0012209D"/>
    <w:rsid w:val="0012355C"/>
    <w:rsid w:val="00125007"/>
    <w:rsid w:val="0013576F"/>
    <w:rsid w:val="00137B07"/>
    <w:rsid w:val="00142499"/>
    <w:rsid w:val="0014274D"/>
    <w:rsid w:val="0014607C"/>
    <w:rsid w:val="001505B6"/>
    <w:rsid w:val="00156ED4"/>
    <w:rsid w:val="00156F7B"/>
    <w:rsid w:val="00157679"/>
    <w:rsid w:val="00160C2A"/>
    <w:rsid w:val="0016108A"/>
    <w:rsid w:val="001612A8"/>
    <w:rsid w:val="00163097"/>
    <w:rsid w:val="001647EB"/>
    <w:rsid w:val="00166FE1"/>
    <w:rsid w:val="00170027"/>
    <w:rsid w:val="00171A79"/>
    <w:rsid w:val="00172967"/>
    <w:rsid w:val="001737C0"/>
    <w:rsid w:val="00173B42"/>
    <w:rsid w:val="00175519"/>
    <w:rsid w:val="00180D2E"/>
    <w:rsid w:val="00183921"/>
    <w:rsid w:val="00185A84"/>
    <w:rsid w:val="00185D0B"/>
    <w:rsid w:val="00187744"/>
    <w:rsid w:val="00187C2C"/>
    <w:rsid w:val="001945EB"/>
    <w:rsid w:val="001A5FBE"/>
    <w:rsid w:val="001A60F5"/>
    <w:rsid w:val="001B0FB1"/>
    <w:rsid w:val="001B12C4"/>
    <w:rsid w:val="001B20E9"/>
    <w:rsid w:val="001B31FC"/>
    <w:rsid w:val="001B3E3A"/>
    <w:rsid w:val="001B46C7"/>
    <w:rsid w:val="001B778F"/>
    <w:rsid w:val="001C0E8C"/>
    <w:rsid w:val="001C2236"/>
    <w:rsid w:val="001C2CDA"/>
    <w:rsid w:val="001C4411"/>
    <w:rsid w:val="001C5394"/>
    <w:rsid w:val="001C5412"/>
    <w:rsid w:val="001C6FB8"/>
    <w:rsid w:val="001D0D7D"/>
    <w:rsid w:val="001D4EAA"/>
    <w:rsid w:val="001D5705"/>
    <w:rsid w:val="001D5B8A"/>
    <w:rsid w:val="001D79FE"/>
    <w:rsid w:val="001D7DFC"/>
    <w:rsid w:val="001E13EC"/>
    <w:rsid w:val="001E277F"/>
    <w:rsid w:val="001E6475"/>
    <w:rsid w:val="001F2C58"/>
    <w:rsid w:val="001F6833"/>
    <w:rsid w:val="002056DE"/>
    <w:rsid w:val="002069FF"/>
    <w:rsid w:val="002101C4"/>
    <w:rsid w:val="00210403"/>
    <w:rsid w:val="00210D8D"/>
    <w:rsid w:val="00210EAE"/>
    <w:rsid w:val="00211969"/>
    <w:rsid w:val="00213254"/>
    <w:rsid w:val="002150C3"/>
    <w:rsid w:val="0022019F"/>
    <w:rsid w:val="00221C77"/>
    <w:rsid w:val="00222C41"/>
    <w:rsid w:val="0022694C"/>
    <w:rsid w:val="00226C3B"/>
    <w:rsid w:val="00227250"/>
    <w:rsid w:val="0022758E"/>
    <w:rsid w:val="0023094B"/>
    <w:rsid w:val="00231170"/>
    <w:rsid w:val="00234482"/>
    <w:rsid w:val="00235D6B"/>
    <w:rsid w:val="00236284"/>
    <w:rsid w:val="0024058F"/>
    <w:rsid w:val="002427A8"/>
    <w:rsid w:val="0024456C"/>
    <w:rsid w:val="00245918"/>
    <w:rsid w:val="002471C1"/>
    <w:rsid w:val="00250D45"/>
    <w:rsid w:val="00250DB3"/>
    <w:rsid w:val="0025298B"/>
    <w:rsid w:val="00252C73"/>
    <w:rsid w:val="00254244"/>
    <w:rsid w:val="002543BD"/>
    <w:rsid w:val="0025592B"/>
    <w:rsid w:val="0025716B"/>
    <w:rsid w:val="00257691"/>
    <w:rsid w:val="00257731"/>
    <w:rsid w:val="00257A3C"/>
    <w:rsid w:val="0026104B"/>
    <w:rsid w:val="00263A41"/>
    <w:rsid w:val="00263C46"/>
    <w:rsid w:val="00264769"/>
    <w:rsid w:val="00266022"/>
    <w:rsid w:val="00266978"/>
    <w:rsid w:val="002670ED"/>
    <w:rsid w:val="002671BA"/>
    <w:rsid w:val="00267658"/>
    <w:rsid w:val="00270698"/>
    <w:rsid w:val="002707C4"/>
    <w:rsid w:val="00271069"/>
    <w:rsid w:val="00271585"/>
    <w:rsid w:val="00273674"/>
    <w:rsid w:val="002759F2"/>
    <w:rsid w:val="002760EF"/>
    <w:rsid w:val="002761ED"/>
    <w:rsid w:val="002774DB"/>
    <w:rsid w:val="002776C6"/>
    <w:rsid w:val="00277ECF"/>
    <w:rsid w:val="002802FE"/>
    <w:rsid w:val="00280698"/>
    <w:rsid w:val="002824B1"/>
    <w:rsid w:val="002850AA"/>
    <w:rsid w:val="00286B0E"/>
    <w:rsid w:val="002908E2"/>
    <w:rsid w:val="00291DCC"/>
    <w:rsid w:val="00291F91"/>
    <w:rsid w:val="00293AA4"/>
    <w:rsid w:val="0029606A"/>
    <w:rsid w:val="0029735B"/>
    <w:rsid w:val="002975CB"/>
    <w:rsid w:val="00297AF5"/>
    <w:rsid w:val="00297FF4"/>
    <w:rsid w:val="002A02AC"/>
    <w:rsid w:val="002A1D76"/>
    <w:rsid w:val="002A1E91"/>
    <w:rsid w:val="002A2BF7"/>
    <w:rsid w:val="002A3F7E"/>
    <w:rsid w:val="002A4F02"/>
    <w:rsid w:val="002A56CB"/>
    <w:rsid w:val="002A6193"/>
    <w:rsid w:val="002B0184"/>
    <w:rsid w:val="002B1390"/>
    <w:rsid w:val="002B40BE"/>
    <w:rsid w:val="002B4CE5"/>
    <w:rsid w:val="002B50C9"/>
    <w:rsid w:val="002B6D6B"/>
    <w:rsid w:val="002C2300"/>
    <w:rsid w:val="002C2B28"/>
    <w:rsid w:val="002C316E"/>
    <w:rsid w:val="002C3F6E"/>
    <w:rsid w:val="002C4C65"/>
    <w:rsid w:val="002C5AE8"/>
    <w:rsid w:val="002D40E0"/>
    <w:rsid w:val="002D511E"/>
    <w:rsid w:val="002D51D4"/>
    <w:rsid w:val="002D7ED3"/>
    <w:rsid w:val="002E2858"/>
    <w:rsid w:val="002E6101"/>
    <w:rsid w:val="002E6A0F"/>
    <w:rsid w:val="002E712A"/>
    <w:rsid w:val="002E7A40"/>
    <w:rsid w:val="002F3030"/>
    <w:rsid w:val="002F3BB7"/>
    <w:rsid w:val="002F3FB8"/>
    <w:rsid w:val="002F5F8E"/>
    <w:rsid w:val="002F6C78"/>
    <w:rsid w:val="003049ED"/>
    <w:rsid w:val="003053FD"/>
    <w:rsid w:val="00305733"/>
    <w:rsid w:val="0030749A"/>
    <w:rsid w:val="00310690"/>
    <w:rsid w:val="00310DC0"/>
    <w:rsid w:val="00311B14"/>
    <w:rsid w:val="003151DB"/>
    <w:rsid w:val="00315480"/>
    <w:rsid w:val="00316666"/>
    <w:rsid w:val="00320518"/>
    <w:rsid w:val="00320F90"/>
    <w:rsid w:val="00323671"/>
    <w:rsid w:val="003241B5"/>
    <w:rsid w:val="0032458F"/>
    <w:rsid w:val="00326486"/>
    <w:rsid w:val="00326DD7"/>
    <w:rsid w:val="00327E16"/>
    <w:rsid w:val="00333D5F"/>
    <w:rsid w:val="003363B2"/>
    <w:rsid w:val="00340B53"/>
    <w:rsid w:val="00343D86"/>
    <w:rsid w:val="00343E22"/>
    <w:rsid w:val="0034403F"/>
    <w:rsid w:val="00345BD8"/>
    <w:rsid w:val="00346091"/>
    <w:rsid w:val="00347A48"/>
    <w:rsid w:val="00350A24"/>
    <w:rsid w:val="00350F2F"/>
    <w:rsid w:val="00352D75"/>
    <w:rsid w:val="00357340"/>
    <w:rsid w:val="00357B16"/>
    <w:rsid w:val="003616FD"/>
    <w:rsid w:val="003627C6"/>
    <w:rsid w:val="00362A16"/>
    <w:rsid w:val="00364924"/>
    <w:rsid w:val="003679D5"/>
    <w:rsid w:val="003705E1"/>
    <w:rsid w:val="003713F9"/>
    <w:rsid w:val="00373FA4"/>
    <w:rsid w:val="0037498F"/>
    <w:rsid w:val="003764AF"/>
    <w:rsid w:val="00383E47"/>
    <w:rsid w:val="0038492C"/>
    <w:rsid w:val="00384B21"/>
    <w:rsid w:val="00385E27"/>
    <w:rsid w:val="00386780"/>
    <w:rsid w:val="00387844"/>
    <w:rsid w:val="0039002F"/>
    <w:rsid w:val="003912A2"/>
    <w:rsid w:val="003923A4"/>
    <w:rsid w:val="00394AB1"/>
    <w:rsid w:val="003975C0"/>
    <w:rsid w:val="003A01F3"/>
    <w:rsid w:val="003A0ACF"/>
    <w:rsid w:val="003A1D89"/>
    <w:rsid w:val="003A30A6"/>
    <w:rsid w:val="003A3FBF"/>
    <w:rsid w:val="003A5935"/>
    <w:rsid w:val="003B0372"/>
    <w:rsid w:val="003B4146"/>
    <w:rsid w:val="003B6C31"/>
    <w:rsid w:val="003C1501"/>
    <w:rsid w:val="003C4E95"/>
    <w:rsid w:val="003C5C88"/>
    <w:rsid w:val="003D0DFC"/>
    <w:rsid w:val="003D6928"/>
    <w:rsid w:val="003D72F8"/>
    <w:rsid w:val="003E2E9C"/>
    <w:rsid w:val="003E465F"/>
    <w:rsid w:val="003E466B"/>
    <w:rsid w:val="003E46B8"/>
    <w:rsid w:val="003E5F2D"/>
    <w:rsid w:val="003E7EA4"/>
    <w:rsid w:val="003F1E2C"/>
    <w:rsid w:val="003F2398"/>
    <w:rsid w:val="003F2C67"/>
    <w:rsid w:val="003F555C"/>
    <w:rsid w:val="003F5640"/>
    <w:rsid w:val="003F644E"/>
    <w:rsid w:val="00405454"/>
    <w:rsid w:val="00406EF2"/>
    <w:rsid w:val="00410B2A"/>
    <w:rsid w:val="004111CC"/>
    <w:rsid w:val="0041288B"/>
    <w:rsid w:val="00412BB0"/>
    <w:rsid w:val="00413735"/>
    <w:rsid w:val="004137CC"/>
    <w:rsid w:val="004156A1"/>
    <w:rsid w:val="00420DA1"/>
    <w:rsid w:val="00421E66"/>
    <w:rsid w:val="00422D19"/>
    <w:rsid w:val="004254E0"/>
    <w:rsid w:val="00425B82"/>
    <w:rsid w:val="00427318"/>
    <w:rsid w:val="004301E2"/>
    <w:rsid w:val="00431F94"/>
    <w:rsid w:val="00432B2D"/>
    <w:rsid w:val="00434B56"/>
    <w:rsid w:val="00435EE6"/>
    <w:rsid w:val="004367C9"/>
    <w:rsid w:val="00437448"/>
    <w:rsid w:val="004421D6"/>
    <w:rsid w:val="00443888"/>
    <w:rsid w:val="00444F7A"/>
    <w:rsid w:val="00445D50"/>
    <w:rsid w:val="00446A34"/>
    <w:rsid w:val="00447DBB"/>
    <w:rsid w:val="00455E0A"/>
    <w:rsid w:val="00457AF2"/>
    <w:rsid w:val="00461E58"/>
    <w:rsid w:val="004639B8"/>
    <w:rsid w:val="004647B5"/>
    <w:rsid w:val="0047021E"/>
    <w:rsid w:val="00471917"/>
    <w:rsid w:val="00472846"/>
    <w:rsid w:val="0047567F"/>
    <w:rsid w:val="00475F3E"/>
    <w:rsid w:val="00483345"/>
    <w:rsid w:val="00483909"/>
    <w:rsid w:val="00485F3F"/>
    <w:rsid w:val="0048612A"/>
    <w:rsid w:val="00486D9A"/>
    <w:rsid w:val="00490F3F"/>
    <w:rsid w:val="004967E3"/>
    <w:rsid w:val="00497A88"/>
    <w:rsid w:val="004A0694"/>
    <w:rsid w:val="004A126E"/>
    <w:rsid w:val="004A313D"/>
    <w:rsid w:val="004A452E"/>
    <w:rsid w:val="004A4CE0"/>
    <w:rsid w:val="004A5990"/>
    <w:rsid w:val="004A74E0"/>
    <w:rsid w:val="004B009D"/>
    <w:rsid w:val="004B3644"/>
    <w:rsid w:val="004B650C"/>
    <w:rsid w:val="004B6C6B"/>
    <w:rsid w:val="004C4090"/>
    <w:rsid w:val="004C4161"/>
    <w:rsid w:val="004C48F3"/>
    <w:rsid w:val="004C6299"/>
    <w:rsid w:val="004C703D"/>
    <w:rsid w:val="004D0529"/>
    <w:rsid w:val="004D05E9"/>
    <w:rsid w:val="004D1A26"/>
    <w:rsid w:val="004D2D5D"/>
    <w:rsid w:val="004D5054"/>
    <w:rsid w:val="004E1044"/>
    <w:rsid w:val="004E3087"/>
    <w:rsid w:val="004E54B4"/>
    <w:rsid w:val="004E6097"/>
    <w:rsid w:val="004E7A88"/>
    <w:rsid w:val="004E7E5C"/>
    <w:rsid w:val="004F0C09"/>
    <w:rsid w:val="004F3623"/>
    <w:rsid w:val="004F37DC"/>
    <w:rsid w:val="004F41D0"/>
    <w:rsid w:val="004F42C9"/>
    <w:rsid w:val="004F4416"/>
    <w:rsid w:val="004F445A"/>
    <w:rsid w:val="004F4646"/>
    <w:rsid w:val="005007D3"/>
    <w:rsid w:val="005008CB"/>
    <w:rsid w:val="00503FEA"/>
    <w:rsid w:val="00504997"/>
    <w:rsid w:val="00505145"/>
    <w:rsid w:val="00512AE3"/>
    <w:rsid w:val="00516221"/>
    <w:rsid w:val="00520A57"/>
    <w:rsid w:val="00521CAE"/>
    <w:rsid w:val="00523AEC"/>
    <w:rsid w:val="00524549"/>
    <w:rsid w:val="00524FEE"/>
    <w:rsid w:val="00525574"/>
    <w:rsid w:val="0052621D"/>
    <w:rsid w:val="005262D6"/>
    <w:rsid w:val="0052678B"/>
    <w:rsid w:val="00526E8F"/>
    <w:rsid w:val="00530857"/>
    <w:rsid w:val="00531BEE"/>
    <w:rsid w:val="00535CA2"/>
    <w:rsid w:val="00536163"/>
    <w:rsid w:val="005415F8"/>
    <w:rsid w:val="0054344A"/>
    <w:rsid w:val="0054357A"/>
    <w:rsid w:val="005460C8"/>
    <w:rsid w:val="00547AA1"/>
    <w:rsid w:val="005521BA"/>
    <w:rsid w:val="00552523"/>
    <w:rsid w:val="00552DDE"/>
    <w:rsid w:val="005557B1"/>
    <w:rsid w:val="00557026"/>
    <w:rsid w:val="00557BAA"/>
    <w:rsid w:val="005607E7"/>
    <w:rsid w:val="00566290"/>
    <w:rsid w:val="0057402D"/>
    <w:rsid w:val="005743DD"/>
    <w:rsid w:val="00575834"/>
    <w:rsid w:val="00577D9C"/>
    <w:rsid w:val="00581276"/>
    <w:rsid w:val="00581FF3"/>
    <w:rsid w:val="0058266F"/>
    <w:rsid w:val="00582907"/>
    <w:rsid w:val="005838E6"/>
    <w:rsid w:val="00584413"/>
    <w:rsid w:val="00584BE5"/>
    <w:rsid w:val="00584D89"/>
    <w:rsid w:val="00584E43"/>
    <w:rsid w:val="00592D39"/>
    <w:rsid w:val="00594CD9"/>
    <w:rsid w:val="00596EAB"/>
    <w:rsid w:val="00597D61"/>
    <w:rsid w:val="005A1E4B"/>
    <w:rsid w:val="005B1324"/>
    <w:rsid w:val="005B344C"/>
    <w:rsid w:val="005B384C"/>
    <w:rsid w:val="005B6DAE"/>
    <w:rsid w:val="005C2626"/>
    <w:rsid w:val="005C4BD6"/>
    <w:rsid w:val="005C5C55"/>
    <w:rsid w:val="005D01AA"/>
    <w:rsid w:val="005D2D3B"/>
    <w:rsid w:val="005D2ED6"/>
    <w:rsid w:val="005D398E"/>
    <w:rsid w:val="005D55A9"/>
    <w:rsid w:val="005E1628"/>
    <w:rsid w:val="005E3172"/>
    <w:rsid w:val="005E4C07"/>
    <w:rsid w:val="005E7210"/>
    <w:rsid w:val="005F3488"/>
    <w:rsid w:val="005F34DE"/>
    <w:rsid w:val="005F4947"/>
    <w:rsid w:val="005F4D22"/>
    <w:rsid w:val="00600254"/>
    <w:rsid w:val="00600A72"/>
    <w:rsid w:val="00601A3E"/>
    <w:rsid w:val="006040A4"/>
    <w:rsid w:val="00604F6F"/>
    <w:rsid w:val="00606DA4"/>
    <w:rsid w:val="00607CD1"/>
    <w:rsid w:val="00610D59"/>
    <w:rsid w:val="00611449"/>
    <w:rsid w:val="006128F8"/>
    <w:rsid w:val="006139F4"/>
    <w:rsid w:val="00617D9F"/>
    <w:rsid w:val="00620A4F"/>
    <w:rsid w:val="00623DA3"/>
    <w:rsid w:val="00624CFF"/>
    <w:rsid w:val="0062538A"/>
    <w:rsid w:val="006302D5"/>
    <w:rsid w:val="0063131B"/>
    <w:rsid w:val="0063246E"/>
    <w:rsid w:val="00635B8A"/>
    <w:rsid w:val="00635CB1"/>
    <w:rsid w:val="00636FD5"/>
    <w:rsid w:val="006371DA"/>
    <w:rsid w:val="00637DC5"/>
    <w:rsid w:val="006406E9"/>
    <w:rsid w:val="0064070C"/>
    <w:rsid w:val="00640E58"/>
    <w:rsid w:val="00642AA2"/>
    <w:rsid w:val="00644BA3"/>
    <w:rsid w:val="006458C8"/>
    <w:rsid w:val="00647E28"/>
    <w:rsid w:val="00651090"/>
    <w:rsid w:val="006520C8"/>
    <w:rsid w:val="006524DB"/>
    <w:rsid w:val="006532F1"/>
    <w:rsid w:val="00657371"/>
    <w:rsid w:val="00660A8D"/>
    <w:rsid w:val="00660EA4"/>
    <w:rsid w:val="00665C35"/>
    <w:rsid w:val="00667C12"/>
    <w:rsid w:val="006705F9"/>
    <w:rsid w:val="00672D99"/>
    <w:rsid w:val="006739D9"/>
    <w:rsid w:val="00674264"/>
    <w:rsid w:val="00674AE7"/>
    <w:rsid w:val="006814CA"/>
    <w:rsid w:val="00682894"/>
    <w:rsid w:val="00682DCC"/>
    <w:rsid w:val="00682FD0"/>
    <w:rsid w:val="006855E8"/>
    <w:rsid w:val="006857E1"/>
    <w:rsid w:val="0068669F"/>
    <w:rsid w:val="00687475"/>
    <w:rsid w:val="00692F8D"/>
    <w:rsid w:val="00693E08"/>
    <w:rsid w:val="006948BA"/>
    <w:rsid w:val="00694910"/>
    <w:rsid w:val="006970C5"/>
    <w:rsid w:val="00697549"/>
    <w:rsid w:val="006A0856"/>
    <w:rsid w:val="006A12BE"/>
    <w:rsid w:val="006A1F52"/>
    <w:rsid w:val="006A2AE5"/>
    <w:rsid w:val="006A3068"/>
    <w:rsid w:val="006A3738"/>
    <w:rsid w:val="006A48B6"/>
    <w:rsid w:val="006A527B"/>
    <w:rsid w:val="006A6F36"/>
    <w:rsid w:val="006B2000"/>
    <w:rsid w:val="006B2090"/>
    <w:rsid w:val="006B2C14"/>
    <w:rsid w:val="006B72FA"/>
    <w:rsid w:val="006C0769"/>
    <w:rsid w:val="006C1722"/>
    <w:rsid w:val="006C1BD8"/>
    <w:rsid w:val="006C3271"/>
    <w:rsid w:val="006D0436"/>
    <w:rsid w:val="006D18E1"/>
    <w:rsid w:val="006D1FA4"/>
    <w:rsid w:val="006D2CA5"/>
    <w:rsid w:val="006D4315"/>
    <w:rsid w:val="006D4859"/>
    <w:rsid w:val="006D576E"/>
    <w:rsid w:val="006D5A95"/>
    <w:rsid w:val="006D656A"/>
    <w:rsid w:val="006D6A5F"/>
    <w:rsid w:val="006E13A0"/>
    <w:rsid w:val="006E1DA5"/>
    <w:rsid w:val="006E26D9"/>
    <w:rsid w:val="006E2EB5"/>
    <w:rsid w:val="006E5A34"/>
    <w:rsid w:val="006F16DD"/>
    <w:rsid w:val="006F410A"/>
    <w:rsid w:val="006F5988"/>
    <w:rsid w:val="006F60AD"/>
    <w:rsid w:val="006F6AA3"/>
    <w:rsid w:val="006F73A0"/>
    <w:rsid w:val="006F7E1A"/>
    <w:rsid w:val="00700ADE"/>
    <w:rsid w:val="0070433A"/>
    <w:rsid w:val="0070526F"/>
    <w:rsid w:val="007121FA"/>
    <w:rsid w:val="0071772C"/>
    <w:rsid w:val="007217A4"/>
    <w:rsid w:val="00723061"/>
    <w:rsid w:val="00723ADF"/>
    <w:rsid w:val="00724795"/>
    <w:rsid w:val="0072606C"/>
    <w:rsid w:val="00730DDB"/>
    <w:rsid w:val="0073104E"/>
    <w:rsid w:val="007315CA"/>
    <w:rsid w:val="00731B55"/>
    <w:rsid w:val="007327CE"/>
    <w:rsid w:val="00733F2C"/>
    <w:rsid w:val="00735723"/>
    <w:rsid w:val="00735DE4"/>
    <w:rsid w:val="007363C2"/>
    <w:rsid w:val="00740FD1"/>
    <w:rsid w:val="00741C32"/>
    <w:rsid w:val="00741CA6"/>
    <w:rsid w:val="00744BDC"/>
    <w:rsid w:val="007567FD"/>
    <w:rsid w:val="007601FC"/>
    <w:rsid w:val="00761E81"/>
    <w:rsid w:val="00762DD9"/>
    <w:rsid w:val="00765AEA"/>
    <w:rsid w:val="00765DD1"/>
    <w:rsid w:val="00766B66"/>
    <w:rsid w:val="00770ABC"/>
    <w:rsid w:val="00773410"/>
    <w:rsid w:val="00776758"/>
    <w:rsid w:val="00777653"/>
    <w:rsid w:val="00780FF5"/>
    <w:rsid w:val="0078137A"/>
    <w:rsid w:val="0078431B"/>
    <w:rsid w:val="0079058B"/>
    <w:rsid w:val="00794D8D"/>
    <w:rsid w:val="00794DEF"/>
    <w:rsid w:val="007A1413"/>
    <w:rsid w:val="007A5B5D"/>
    <w:rsid w:val="007A77E2"/>
    <w:rsid w:val="007B0CC0"/>
    <w:rsid w:val="007B3AA9"/>
    <w:rsid w:val="007B6BDB"/>
    <w:rsid w:val="007B78FF"/>
    <w:rsid w:val="007C05D7"/>
    <w:rsid w:val="007C273C"/>
    <w:rsid w:val="007C3102"/>
    <w:rsid w:val="007C3845"/>
    <w:rsid w:val="007D0A88"/>
    <w:rsid w:val="007D2812"/>
    <w:rsid w:val="007D4688"/>
    <w:rsid w:val="007D4E7C"/>
    <w:rsid w:val="007D59A3"/>
    <w:rsid w:val="007D60EF"/>
    <w:rsid w:val="007E1E1F"/>
    <w:rsid w:val="007E4FA9"/>
    <w:rsid w:val="007E5475"/>
    <w:rsid w:val="007E73D9"/>
    <w:rsid w:val="007F17A8"/>
    <w:rsid w:val="007F3F29"/>
    <w:rsid w:val="007F59D8"/>
    <w:rsid w:val="008002FA"/>
    <w:rsid w:val="008006F5"/>
    <w:rsid w:val="00800A2B"/>
    <w:rsid w:val="00801C9F"/>
    <w:rsid w:val="008021F9"/>
    <w:rsid w:val="00802A79"/>
    <w:rsid w:val="00803925"/>
    <w:rsid w:val="008048D7"/>
    <w:rsid w:val="00807781"/>
    <w:rsid w:val="0080789E"/>
    <w:rsid w:val="00810291"/>
    <w:rsid w:val="00811B9A"/>
    <w:rsid w:val="00813404"/>
    <w:rsid w:val="00813521"/>
    <w:rsid w:val="00814A72"/>
    <w:rsid w:val="00815612"/>
    <w:rsid w:val="00815C98"/>
    <w:rsid w:val="00820735"/>
    <w:rsid w:val="008220FA"/>
    <w:rsid w:val="008254FC"/>
    <w:rsid w:val="00827C71"/>
    <w:rsid w:val="00830F2E"/>
    <w:rsid w:val="0083227F"/>
    <w:rsid w:val="00834E77"/>
    <w:rsid w:val="00835E4D"/>
    <w:rsid w:val="00835E5E"/>
    <w:rsid w:val="00837DF7"/>
    <w:rsid w:val="008404B7"/>
    <w:rsid w:val="008414F9"/>
    <w:rsid w:val="00842AA3"/>
    <w:rsid w:val="008454C5"/>
    <w:rsid w:val="0085184E"/>
    <w:rsid w:val="00852148"/>
    <w:rsid w:val="008548B8"/>
    <w:rsid w:val="00857FEE"/>
    <w:rsid w:val="00862733"/>
    <w:rsid w:val="00864F68"/>
    <w:rsid w:val="00867635"/>
    <w:rsid w:val="00871F13"/>
    <w:rsid w:val="00872607"/>
    <w:rsid w:val="00873852"/>
    <w:rsid w:val="00880AF3"/>
    <w:rsid w:val="00881C61"/>
    <w:rsid w:val="00890D08"/>
    <w:rsid w:val="00892057"/>
    <w:rsid w:val="00892B37"/>
    <w:rsid w:val="00892DE8"/>
    <w:rsid w:val="00896EB7"/>
    <w:rsid w:val="008A00B8"/>
    <w:rsid w:val="008A03FD"/>
    <w:rsid w:val="008A06A5"/>
    <w:rsid w:val="008A2493"/>
    <w:rsid w:val="008A2865"/>
    <w:rsid w:val="008A326B"/>
    <w:rsid w:val="008A7AC6"/>
    <w:rsid w:val="008B190F"/>
    <w:rsid w:val="008B2444"/>
    <w:rsid w:val="008B3BE9"/>
    <w:rsid w:val="008B3CFC"/>
    <w:rsid w:val="008B616E"/>
    <w:rsid w:val="008C086A"/>
    <w:rsid w:val="008C1850"/>
    <w:rsid w:val="008C53BB"/>
    <w:rsid w:val="008D22CD"/>
    <w:rsid w:val="008D5BD5"/>
    <w:rsid w:val="008D7BC2"/>
    <w:rsid w:val="008E0292"/>
    <w:rsid w:val="008E0DBC"/>
    <w:rsid w:val="008E3C10"/>
    <w:rsid w:val="008E45CA"/>
    <w:rsid w:val="008E4E19"/>
    <w:rsid w:val="008E5D29"/>
    <w:rsid w:val="008E6893"/>
    <w:rsid w:val="008F4732"/>
    <w:rsid w:val="008F625D"/>
    <w:rsid w:val="008F7955"/>
    <w:rsid w:val="00902B3D"/>
    <w:rsid w:val="00904B77"/>
    <w:rsid w:val="00905F48"/>
    <w:rsid w:val="009065B1"/>
    <w:rsid w:val="00907406"/>
    <w:rsid w:val="0091152E"/>
    <w:rsid w:val="0091271B"/>
    <w:rsid w:val="0091280B"/>
    <w:rsid w:val="0091654B"/>
    <w:rsid w:val="0092006A"/>
    <w:rsid w:val="00921B7F"/>
    <w:rsid w:val="0092422C"/>
    <w:rsid w:val="00927000"/>
    <w:rsid w:val="009270F2"/>
    <w:rsid w:val="0093159F"/>
    <w:rsid w:val="00933EAB"/>
    <w:rsid w:val="00934380"/>
    <w:rsid w:val="00935551"/>
    <w:rsid w:val="00935B82"/>
    <w:rsid w:val="00936BCB"/>
    <w:rsid w:val="009414D9"/>
    <w:rsid w:val="00942B04"/>
    <w:rsid w:val="00946CB1"/>
    <w:rsid w:val="00951688"/>
    <w:rsid w:val="00951A71"/>
    <w:rsid w:val="00951E6D"/>
    <w:rsid w:val="00952B63"/>
    <w:rsid w:val="00953EF0"/>
    <w:rsid w:val="00955093"/>
    <w:rsid w:val="00957784"/>
    <w:rsid w:val="00962A20"/>
    <w:rsid w:val="00965D0E"/>
    <w:rsid w:val="00967336"/>
    <w:rsid w:val="0096779E"/>
    <w:rsid w:val="009703E1"/>
    <w:rsid w:val="00971763"/>
    <w:rsid w:val="0097224F"/>
    <w:rsid w:val="0097263D"/>
    <w:rsid w:val="009745AE"/>
    <w:rsid w:val="009805EA"/>
    <w:rsid w:val="00980B89"/>
    <w:rsid w:val="00981BFB"/>
    <w:rsid w:val="009829EA"/>
    <w:rsid w:val="009857E5"/>
    <w:rsid w:val="00987EFA"/>
    <w:rsid w:val="009913F8"/>
    <w:rsid w:val="009917E6"/>
    <w:rsid w:val="00992FA8"/>
    <w:rsid w:val="0099395D"/>
    <w:rsid w:val="00994A90"/>
    <w:rsid w:val="0099501B"/>
    <w:rsid w:val="009A0BAE"/>
    <w:rsid w:val="009A2B89"/>
    <w:rsid w:val="009A5F64"/>
    <w:rsid w:val="009A73C7"/>
    <w:rsid w:val="009B06DF"/>
    <w:rsid w:val="009B0BA3"/>
    <w:rsid w:val="009B15E4"/>
    <w:rsid w:val="009B1DA4"/>
    <w:rsid w:val="009B2D05"/>
    <w:rsid w:val="009B2FBF"/>
    <w:rsid w:val="009B4252"/>
    <w:rsid w:val="009B53A6"/>
    <w:rsid w:val="009B5CF4"/>
    <w:rsid w:val="009C11D5"/>
    <w:rsid w:val="009C1332"/>
    <w:rsid w:val="009C280C"/>
    <w:rsid w:val="009C5463"/>
    <w:rsid w:val="009C5C16"/>
    <w:rsid w:val="009C6CB2"/>
    <w:rsid w:val="009C6FAF"/>
    <w:rsid w:val="009C7088"/>
    <w:rsid w:val="009C725C"/>
    <w:rsid w:val="009D182C"/>
    <w:rsid w:val="009D19D8"/>
    <w:rsid w:val="009D2626"/>
    <w:rsid w:val="009D3B17"/>
    <w:rsid w:val="009D3E48"/>
    <w:rsid w:val="009D4C61"/>
    <w:rsid w:val="009D5C55"/>
    <w:rsid w:val="009D67A8"/>
    <w:rsid w:val="009E0DCD"/>
    <w:rsid w:val="009E13F4"/>
    <w:rsid w:val="009E2DC9"/>
    <w:rsid w:val="009E4B68"/>
    <w:rsid w:val="009E5373"/>
    <w:rsid w:val="009F175F"/>
    <w:rsid w:val="009F2054"/>
    <w:rsid w:val="009F24E2"/>
    <w:rsid w:val="009F4D05"/>
    <w:rsid w:val="009F5E39"/>
    <w:rsid w:val="009F6BD3"/>
    <w:rsid w:val="00A02BB3"/>
    <w:rsid w:val="00A04EF7"/>
    <w:rsid w:val="00A051AD"/>
    <w:rsid w:val="00A07603"/>
    <w:rsid w:val="00A1152D"/>
    <w:rsid w:val="00A139FA"/>
    <w:rsid w:val="00A13B54"/>
    <w:rsid w:val="00A16990"/>
    <w:rsid w:val="00A20AE6"/>
    <w:rsid w:val="00A22551"/>
    <w:rsid w:val="00A23D9C"/>
    <w:rsid w:val="00A24710"/>
    <w:rsid w:val="00A25174"/>
    <w:rsid w:val="00A25FC5"/>
    <w:rsid w:val="00A32273"/>
    <w:rsid w:val="00A34A14"/>
    <w:rsid w:val="00A3702C"/>
    <w:rsid w:val="00A4201B"/>
    <w:rsid w:val="00A42151"/>
    <w:rsid w:val="00A43C2E"/>
    <w:rsid w:val="00A44FDC"/>
    <w:rsid w:val="00A46A36"/>
    <w:rsid w:val="00A47946"/>
    <w:rsid w:val="00A54DE6"/>
    <w:rsid w:val="00A54FF9"/>
    <w:rsid w:val="00A56251"/>
    <w:rsid w:val="00A57F08"/>
    <w:rsid w:val="00A62BBD"/>
    <w:rsid w:val="00A655AC"/>
    <w:rsid w:val="00A66897"/>
    <w:rsid w:val="00A67A8B"/>
    <w:rsid w:val="00A70FFB"/>
    <w:rsid w:val="00A742BB"/>
    <w:rsid w:val="00A768B2"/>
    <w:rsid w:val="00A80269"/>
    <w:rsid w:val="00A81C24"/>
    <w:rsid w:val="00A81F61"/>
    <w:rsid w:val="00A85B1A"/>
    <w:rsid w:val="00A86F69"/>
    <w:rsid w:val="00A87482"/>
    <w:rsid w:val="00A92DCC"/>
    <w:rsid w:val="00A933EE"/>
    <w:rsid w:val="00A93C38"/>
    <w:rsid w:val="00A93C4B"/>
    <w:rsid w:val="00A97528"/>
    <w:rsid w:val="00A97886"/>
    <w:rsid w:val="00AA534A"/>
    <w:rsid w:val="00AA5EA0"/>
    <w:rsid w:val="00AB13E8"/>
    <w:rsid w:val="00AB1756"/>
    <w:rsid w:val="00AB1791"/>
    <w:rsid w:val="00AB1974"/>
    <w:rsid w:val="00AB1DEA"/>
    <w:rsid w:val="00AB43E9"/>
    <w:rsid w:val="00AB6511"/>
    <w:rsid w:val="00AC1076"/>
    <w:rsid w:val="00AC2BFD"/>
    <w:rsid w:val="00AC35A3"/>
    <w:rsid w:val="00AC4FB5"/>
    <w:rsid w:val="00AC50B5"/>
    <w:rsid w:val="00AC6F2A"/>
    <w:rsid w:val="00AC7429"/>
    <w:rsid w:val="00AC777E"/>
    <w:rsid w:val="00AD0FB2"/>
    <w:rsid w:val="00AD4018"/>
    <w:rsid w:val="00AD4504"/>
    <w:rsid w:val="00AE1B78"/>
    <w:rsid w:val="00AE268E"/>
    <w:rsid w:val="00AE4229"/>
    <w:rsid w:val="00AF339E"/>
    <w:rsid w:val="00AF3BF7"/>
    <w:rsid w:val="00AF6710"/>
    <w:rsid w:val="00AF6ED7"/>
    <w:rsid w:val="00B03CB4"/>
    <w:rsid w:val="00B0479F"/>
    <w:rsid w:val="00B050EB"/>
    <w:rsid w:val="00B15210"/>
    <w:rsid w:val="00B15752"/>
    <w:rsid w:val="00B159F6"/>
    <w:rsid w:val="00B162D0"/>
    <w:rsid w:val="00B1695B"/>
    <w:rsid w:val="00B17E52"/>
    <w:rsid w:val="00B20792"/>
    <w:rsid w:val="00B20BFC"/>
    <w:rsid w:val="00B21C4A"/>
    <w:rsid w:val="00B22537"/>
    <w:rsid w:val="00B25F77"/>
    <w:rsid w:val="00B273E8"/>
    <w:rsid w:val="00B32C98"/>
    <w:rsid w:val="00B3701A"/>
    <w:rsid w:val="00B41C1F"/>
    <w:rsid w:val="00B43908"/>
    <w:rsid w:val="00B460BD"/>
    <w:rsid w:val="00B50EE7"/>
    <w:rsid w:val="00B50F0F"/>
    <w:rsid w:val="00B54302"/>
    <w:rsid w:val="00B56DF6"/>
    <w:rsid w:val="00B603E2"/>
    <w:rsid w:val="00B6607B"/>
    <w:rsid w:val="00B66916"/>
    <w:rsid w:val="00B66E09"/>
    <w:rsid w:val="00B672D2"/>
    <w:rsid w:val="00B67F45"/>
    <w:rsid w:val="00B7028C"/>
    <w:rsid w:val="00B7449E"/>
    <w:rsid w:val="00B744F0"/>
    <w:rsid w:val="00B74CA4"/>
    <w:rsid w:val="00B776A6"/>
    <w:rsid w:val="00B80344"/>
    <w:rsid w:val="00B8115D"/>
    <w:rsid w:val="00B835B5"/>
    <w:rsid w:val="00B83B6D"/>
    <w:rsid w:val="00B84038"/>
    <w:rsid w:val="00B85265"/>
    <w:rsid w:val="00B87B0A"/>
    <w:rsid w:val="00B90ACF"/>
    <w:rsid w:val="00B9111B"/>
    <w:rsid w:val="00B928D7"/>
    <w:rsid w:val="00B93BD0"/>
    <w:rsid w:val="00B93D02"/>
    <w:rsid w:val="00B94B42"/>
    <w:rsid w:val="00B94CE9"/>
    <w:rsid w:val="00B95CF3"/>
    <w:rsid w:val="00BA08E7"/>
    <w:rsid w:val="00BA193F"/>
    <w:rsid w:val="00BA2262"/>
    <w:rsid w:val="00BA3E56"/>
    <w:rsid w:val="00BA6532"/>
    <w:rsid w:val="00BB2690"/>
    <w:rsid w:val="00BB36A1"/>
    <w:rsid w:val="00BB3754"/>
    <w:rsid w:val="00BB4B1B"/>
    <w:rsid w:val="00BB5644"/>
    <w:rsid w:val="00BB5F26"/>
    <w:rsid w:val="00BC1DFA"/>
    <w:rsid w:val="00BC26DF"/>
    <w:rsid w:val="00BC3025"/>
    <w:rsid w:val="00BC5566"/>
    <w:rsid w:val="00BD0FB0"/>
    <w:rsid w:val="00BD186C"/>
    <w:rsid w:val="00BD5187"/>
    <w:rsid w:val="00BD7D88"/>
    <w:rsid w:val="00BE006A"/>
    <w:rsid w:val="00BE0915"/>
    <w:rsid w:val="00BE4CE1"/>
    <w:rsid w:val="00BE527B"/>
    <w:rsid w:val="00BE6193"/>
    <w:rsid w:val="00BE7F60"/>
    <w:rsid w:val="00BF0482"/>
    <w:rsid w:val="00BF0F8E"/>
    <w:rsid w:val="00BF256A"/>
    <w:rsid w:val="00BF3CD9"/>
    <w:rsid w:val="00BF6067"/>
    <w:rsid w:val="00BF708B"/>
    <w:rsid w:val="00C00A74"/>
    <w:rsid w:val="00C02635"/>
    <w:rsid w:val="00C11533"/>
    <w:rsid w:val="00C13727"/>
    <w:rsid w:val="00C141F5"/>
    <w:rsid w:val="00C14E14"/>
    <w:rsid w:val="00C15108"/>
    <w:rsid w:val="00C21B9F"/>
    <w:rsid w:val="00C2395E"/>
    <w:rsid w:val="00C27AC6"/>
    <w:rsid w:val="00C314B4"/>
    <w:rsid w:val="00C314FB"/>
    <w:rsid w:val="00C318C5"/>
    <w:rsid w:val="00C321A2"/>
    <w:rsid w:val="00C37556"/>
    <w:rsid w:val="00C37A51"/>
    <w:rsid w:val="00C40CE7"/>
    <w:rsid w:val="00C42134"/>
    <w:rsid w:val="00C428D2"/>
    <w:rsid w:val="00C42A2B"/>
    <w:rsid w:val="00C4406D"/>
    <w:rsid w:val="00C4477F"/>
    <w:rsid w:val="00C50A0E"/>
    <w:rsid w:val="00C52328"/>
    <w:rsid w:val="00C53F2F"/>
    <w:rsid w:val="00C5572F"/>
    <w:rsid w:val="00C5748A"/>
    <w:rsid w:val="00C62C72"/>
    <w:rsid w:val="00C70FE3"/>
    <w:rsid w:val="00C74E17"/>
    <w:rsid w:val="00C7546E"/>
    <w:rsid w:val="00C81F8D"/>
    <w:rsid w:val="00C824BF"/>
    <w:rsid w:val="00C82A1F"/>
    <w:rsid w:val="00C82F93"/>
    <w:rsid w:val="00C86BBB"/>
    <w:rsid w:val="00C86F28"/>
    <w:rsid w:val="00C87441"/>
    <w:rsid w:val="00C901F6"/>
    <w:rsid w:val="00C946A0"/>
    <w:rsid w:val="00C963A1"/>
    <w:rsid w:val="00CA0810"/>
    <w:rsid w:val="00CA0A18"/>
    <w:rsid w:val="00CA0B6D"/>
    <w:rsid w:val="00CA3415"/>
    <w:rsid w:val="00CA44B5"/>
    <w:rsid w:val="00CA4C35"/>
    <w:rsid w:val="00CB1951"/>
    <w:rsid w:val="00CB27FC"/>
    <w:rsid w:val="00CB3F41"/>
    <w:rsid w:val="00CB4D25"/>
    <w:rsid w:val="00CB7E95"/>
    <w:rsid w:val="00CC0DFD"/>
    <w:rsid w:val="00CC0FE5"/>
    <w:rsid w:val="00CC3259"/>
    <w:rsid w:val="00CC4489"/>
    <w:rsid w:val="00CC6E9D"/>
    <w:rsid w:val="00CD08D8"/>
    <w:rsid w:val="00CD0AE7"/>
    <w:rsid w:val="00CD3834"/>
    <w:rsid w:val="00CD7ADF"/>
    <w:rsid w:val="00CE146E"/>
    <w:rsid w:val="00CE3139"/>
    <w:rsid w:val="00CE47B9"/>
    <w:rsid w:val="00CE4AC6"/>
    <w:rsid w:val="00CE7679"/>
    <w:rsid w:val="00CE7DC1"/>
    <w:rsid w:val="00CF012C"/>
    <w:rsid w:val="00CF347A"/>
    <w:rsid w:val="00CF3CC2"/>
    <w:rsid w:val="00CF4D53"/>
    <w:rsid w:val="00CF5D3B"/>
    <w:rsid w:val="00D01510"/>
    <w:rsid w:val="00D043DD"/>
    <w:rsid w:val="00D05289"/>
    <w:rsid w:val="00D063F1"/>
    <w:rsid w:val="00D06639"/>
    <w:rsid w:val="00D06F75"/>
    <w:rsid w:val="00D10301"/>
    <w:rsid w:val="00D14F18"/>
    <w:rsid w:val="00D14F3D"/>
    <w:rsid w:val="00D1646C"/>
    <w:rsid w:val="00D20266"/>
    <w:rsid w:val="00D2467D"/>
    <w:rsid w:val="00D307EE"/>
    <w:rsid w:val="00D31330"/>
    <w:rsid w:val="00D316F9"/>
    <w:rsid w:val="00D32A88"/>
    <w:rsid w:val="00D33BDE"/>
    <w:rsid w:val="00D33C50"/>
    <w:rsid w:val="00D341B4"/>
    <w:rsid w:val="00D36482"/>
    <w:rsid w:val="00D4094A"/>
    <w:rsid w:val="00D42F12"/>
    <w:rsid w:val="00D43177"/>
    <w:rsid w:val="00D5038A"/>
    <w:rsid w:val="00D527F1"/>
    <w:rsid w:val="00D52F33"/>
    <w:rsid w:val="00D53A41"/>
    <w:rsid w:val="00D5529E"/>
    <w:rsid w:val="00D561B9"/>
    <w:rsid w:val="00D60BCD"/>
    <w:rsid w:val="00D64F2D"/>
    <w:rsid w:val="00D664EA"/>
    <w:rsid w:val="00D6746C"/>
    <w:rsid w:val="00D705A5"/>
    <w:rsid w:val="00D70D20"/>
    <w:rsid w:val="00D72B2F"/>
    <w:rsid w:val="00D7419B"/>
    <w:rsid w:val="00D76E7E"/>
    <w:rsid w:val="00D772EB"/>
    <w:rsid w:val="00D77C35"/>
    <w:rsid w:val="00D8184B"/>
    <w:rsid w:val="00D82FA6"/>
    <w:rsid w:val="00D87125"/>
    <w:rsid w:val="00D871F8"/>
    <w:rsid w:val="00D90DAE"/>
    <w:rsid w:val="00D911AE"/>
    <w:rsid w:val="00D93E03"/>
    <w:rsid w:val="00D96A58"/>
    <w:rsid w:val="00DA03B9"/>
    <w:rsid w:val="00DA3E36"/>
    <w:rsid w:val="00DA5017"/>
    <w:rsid w:val="00DA54CF"/>
    <w:rsid w:val="00DA5846"/>
    <w:rsid w:val="00DA7D59"/>
    <w:rsid w:val="00DB03E0"/>
    <w:rsid w:val="00DB2C3B"/>
    <w:rsid w:val="00DB3C16"/>
    <w:rsid w:val="00DB40D7"/>
    <w:rsid w:val="00DB43F3"/>
    <w:rsid w:val="00DB473F"/>
    <w:rsid w:val="00DB5796"/>
    <w:rsid w:val="00DB6D4D"/>
    <w:rsid w:val="00DB7496"/>
    <w:rsid w:val="00DB7DDB"/>
    <w:rsid w:val="00DC1E93"/>
    <w:rsid w:val="00DC1FA5"/>
    <w:rsid w:val="00DC51A9"/>
    <w:rsid w:val="00DC7008"/>
    <w:rsid w:val="00DC7D8D"/>
    <w:rsid w:val="00DD0639"/>
    <w:rsid w:val="00DD2A94"/>
    <w:rsid w:val="00DD4132"/>
    <w:rsid w:val="00DD4667"/>
    <w:rsid w:val="00DE111A"/>
    <w:rsid w:val="00DE236C"/>
    <w:rsid w:val="00DE3A0A"/>
    <w:rsid w:val="00DE5F49"/>
    <w:rsid w:val="00DE6DB9"/>
    <w:rsid w:val="00DE6E1C"/>
    <w:rsid w:val="00DE7DC5"/>
    <w:rsid w:val="00DF20C4"/>
    <w:rsid w:val="00DF4320"/>
    <w:rsid w:val="00DF4656"/>
    <w:rsid w:val="00E02766"/>
    <w:rsid w:val="00E0299A"/>
    <w:rsid w:val="00E0335E"/>
    <w:rsid w:val="00E034E7"/>
    <w:rsid w:val="00E03E9C"/>
    <w:rsid w:val="00E0558A"/>
    <w:rsid w:val="00E079C0"/>
    <w:rsid w:val="00E113C5"/>
    <w:rsid w:val="00E118A5"/>
    <w:rsid w:val="00E14BF8"/>
    <w:rsid w:val="00E167B6"/>
    <w:rsid w:val="00E16C49"/>
    <w:rsid w:val="00E17B47"/>
    <w:rsid w:val="00E20222"/>
    <w:rsid w:val="00E2022F"/>
    <w:rsid w:val="00E229D9"/>
    <w:rsid w:val="00E25034"/>
    <w:rsid w:val="00E2625C"/>
    <w:rsid w:val="00E30514"/>
    <w:rsid w:val="00E30CED"/>
    <w:rsid w:val="00E32A94"/>
    <w:rsid w:val="00E3365D"/>
    <w:rsid w:val="00E35C24"/>
    <w:rsid w:val="00E3735D"/>
    <w:rsid w:val="00E37FA9"/>
    <w:rsid w:val="00E40C98"/>
    <w:rsid w:val="00E4245B"/>
    <w:rsid w:val="00E42549"/>
    <w:rsid w:val="00E431F2"/>
    <w:rsid w:val="00E439BF"/>
    <w:rsid w:val="00E46662"/>
    <w:rsid w:val="00E502F7"/>
    <w:rsid w:val="00E504E0"/>
    <w:rsid w:val="00E533EA"/>
    <w:rsid w:val="00E61681"/>
    <w:rsid w:val="00E61E75"/>
    <w:rsid w:val="00E61E9A"/>
    <w:rsid w:val="00E62BCB"/>
    <w:rsid w:val="00E637C7"/>
    <w:rsid w:val="00E63B38"/>
    <w:rsid w:val="00E71D11"/>
    <w:rsid w:val="00E72170"/>
    <w:rsid w:val="00E74D2A"/>
    <w:rsid w:val="00E7602B"/>
    <w:rsid w:val="00E82024"/>
    <w:rsid w:val="00E8360F"/>
    <w:rsid w:val="00E87420"/>
    <w:rsid w:val="00E87C78"/>
    <w:rsid w:val="00E9097A"/>
    <w:rsid w:val="00E9759C"/>
    <w:rsid w:val="00E97A7D"/>
    <w:rsid w:val="00EA032D"/>
    <w:rsid w:val="00EA0AC5"/>
    <w:rsid w:val="00EA1315"/>
    <w:rsid w:val="00EA1760"/>
    <w:rsid w:val="00EA6A64"/>
    <w:rsid w:val="00EB0B50"/>
    <w:rsid w:val="00EB1442"/>
    <w:rsid w:val="00EB1476"/>
    <w:rsid w:val="00EB261E"/>
    <w:rsid w:val="00EB3C61"/>
    <w:rsid w:val="00EB51D9"/>
    <w:rsid w:val="00EB6E01"/>
    <w:rsid w:val="00EB76FE"/>
    <w:rsid w:val="00EC01BB"/>
    <w:rsid w:val="00EC1142"/>
    <w:rsid w:val="00EC1802"/>
    <w:rsid w:val="00EC1DA7"/>
    <w:rsid w:val="00EC3314"/>
    <w:rsid w:val="00EC6743"/>
    <w:rsid w:val="00ED009C"/>
    <w:rsid w:val="00ED0AE0"/>
    <w:rsid w:val="00ED0D87"/>
    <w:rsid w:val="00ED31EA"/>
    <w:rsid w:val="00ED45A0"/>
    <w:rsid w:val="00EE0497"/>
    <w:rsid w:val="00EE146A"/>
    <w:rsid w:val="00EE1E71"/>
    <w:rsid w:val="00EE3884"/>
    <w:rsid w:val="00EE4A88"/>
    <w:rsid w:val="00EE4F46"/>
    <w:rsid w:val="00EF5525"/>
    <w:rsid w:val="00EF7FF6"/>
    <w:rsid w:val="00F04F35"/>
    <w:rsid w:val="00F0518E"/>
    <w:rsid w:val="00F06AF1"/>
    <w:rsid w:val="00F1025A"/>
    <w:rsid w:val="00F1067A"/>
    <w:rsid w:val="00F120EB"/>
    <w:rsid w:val="00F13FE6"/>
    <w:rsid w:val="00F17B28"/>
    <w:rsid w:val="00F20E15"/>
    <w:rsid w:val="00F223B0"/>
    <w:rsid w:val="00F23BB3"/>
    <w:rsid w:val="00F24CD0"/>
    <w:rsid w:val="00F253AF"/>
    <w:rsid w:val="00F25708"/>
    <w:rsid w:val="00F25B8F"/>
    <w:rsid w:val="00F25D3C"/>
    <w:rsid w:val="00F30EB7"/>
    <w:rsid w:val="00F31175"/>
    <w:rsid w:val="00F3671D"/>
    <w:rsid w:val="00F36E1E"/>
    <w:rsid w:val="00F3728F"/>
    <w:rsid w:val="00F377AF"/>
    <w:rsid w:val="00F42222"/>
    <w:rsid w:val="00F45A2C"/>
    <w:rsid w:val="00F45FA5"/>
    <w:rsid w:val="00F46264"/>
    <w:rsid w:val="00F46EB9"/>
    <w:rsid w:val="00F471AA"/>
    <w:rsid w:val="00F50281"/>
    <w:rsid w:val="00F5062B"/>
    <w:rsid w:val="00F517BC"/>
    <w:rsid w:val="00F51848"/>
    <w:rsid w:val="00F51A4E"/>
    <w:rsid w:val="00F5240B"/>
    <w:rsid w:val="00F53869"/>
    <w:rsid w:val="00F53B86"/>
    <w:rsid w:val="00F55C8E"/>
    <w:rsid w:val="00F56778"/>
    <w:rsid w:val="00F61CCD"/>
    <w:rsid w:val="00F636EA"/>
    <w:rsid w:val="00F657DE"/>
    <w:rsid w:val="00F70D77"/>
    <w:rsid w:val="00F70F4E"/>
    <w:rsid w:val="00F73153"/>
    <w:rsid w:val="00F77353"/>
    <w:rsid w:val="00F80DC6"/>
    <w:rsid w:val="00F90923"/>
    <w:rsid w:val="00F91025"/>
    <w:rsid w:val="00F94254"/>
    <w:rsid w:val="00F966E8"/>
    <w:rsid w:val="00FA017D"/>
    <w:rsid w:val="00FA0E60"/>
    <w:rsid w:val="00FA426E"/>
    <w:rsid w:val="00FA7B83"/>
    <w:rsid w:val="00FA7EC3"/>
    <w:rsid w:val="00FA7EE6"/>
    <w:rsid w:val="00FB08E7"/>
    <w:rsid w:val="00FB3498"/>
    <w:rsid w:val="00FB399C"/>
    <w:rsid w:val="00FB3B44"/>
    <w:rsid w:val="00FB62B0"/>
    <w:rsid w:val="00FB7712"/>
    <w:rsid w:val="00FD2589"/>
    <w:rsid w:val="00FD4C2C"/>
    <w:rsid w:val="00FD4FDC"/>
    <w:rsid w:val="00FD5C0D"/>
    <w:rsid w:val="00FE0148"/>
    <w:rsid w:val="00FE0251"/>
    <w:rsid w:val="00FE1DDC"/>
    <w:rsid w:val="00FE711E"/>
    <w:rsid w:val="00FF0F32"/>
    <w:rsid w:val="00FF13F4"/>
    <w:rsid w:val="00FF5798"/>
    <w:rsid w:val="00FF6B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FFB99"/>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5E8"/>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Heading 12,heading 1,naslov 1,Naslov 12,Graf,TG lista,Naslov 11,Paragraphe de liste PBLH,Graph &amp; Table tite,Normal bullet 2,Bullet list,Figure_name,Equipment,Numbered Indented Text,2"/>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Heading 12 Char,heading 1 Char,naslov 1 Char,Naslov 12 Char,Graf Char,TG lista Char,Naslov 11 Char,Paragraphe de liste PBLH Char,Graph &amp; Table tite Char,Normal bullet 2 Char,2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92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paragraph" w:styleId="Tijeloteksta2">
    <w:name w:val="Body Text 2"/>
    <w:basedOn w:val="Normal"/>
    <w:link w:val="Tijeloteksta2Char"/>
    <w:uiPriority w:val="99"/>
    <w:semiHidden/>
    <w:unhideWhenUsed/>
    <w:rsid w:val="00EB3C61"/>
    <w:pPr>
      <w:spacing w:after="120" w:line="480" w:lineRule="auto"/>
    </w:pPr>
  </w:style>
  <w:style w:type="character" w:customStyle="1" w:styleId="Tijeloteksta2Char">
    <w:name w:val="Tijelo teksta 2 Char"/>
    <w:basedOn w:val="Zadanifontodlomka"/>
    <w:link w:val="Tijeloteksta2"/>
    <w:uiPriority w:val="99"/>
    <w:semiHidden/>
    <w:rsid w:val="00EB3C61"/>
    <w:rPr>
      <w:rFonts w:eastAsia="Times New Roman" w:cs="Times New Roman"/>
      <w:szCs w:val="24"/>
      <w:lang w:eastAsia="hr-HR"/>
    </w:rPr>
  </w:style>
  <w:style w:type="table" w:styleId="Reetkatablice">
    <w:name w:val="Table Grid"/>
    <w:basedOn w:val="Obinatablica"/>
    <w:uiPriority w:val="39"/>
    <w:rsid w:val="009D3E48"/>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rsid w:val="007B0C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uiPriority w:val="39"/>
    <w:rsid w:val="00DB6D4D"/>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27">
      <w:bodyDiv w:val="1"/>
      <w:marLeft w:val="0"/>
      <w:marRight w:val="0"/>
      <w:marTop w:val="0"/>
      <w:marBottom w:val="0"/>
      <w:divBdr>
        <w:top w:val="none" w:sz="0" w:space="0" w:color="auto"/>
        <w:left w:val="none" w:sz="0" w:space="0" w:color="auto"/>
        <w:bottom w:val="none" w:sz="0" w:space="0" w:color="auto"/>
        <w:right w:val="none" w:sz="0" w:space="0" w:color="auto"/>
      </w:divBdr>
    </w:div>
    <w:div w:id="60564469">
      <w:bodyDiv w:val="1"/>
      <w:marLeft w:val="0"/>
      <w:marRight w:val="0"/>
      <w:marTop w:val="0"/>
      <w:marBottom w:val="0"/>
      <w:divBdr>
        <w:top w:val="none" w:sz="0" w:space="0" w:color="auto"/>
        <w:left w:val="none" w:sz="0" w:space="0" w:color="auto"/>
        <w:bottom w:val="none" w:sz="0" w:space="0" w:color="auto"/>
        <w:right w:val="none" w:sz="0" w:space="0" w:color="auto"/>
      </w:divBdr>
    </w:div>
    <w:div w:id="155921645">
      <w:bodyDiv w:val="1"/>
      <w:marLeft w:val="0"/>
      <w:marRight w:val="0"/>
      <w:marTop w:val="0"/>
      <w:marBottom w:val="0"/>
      <w:divBdr>
        <w:top w:val="none" w:sz="0" w:space="0" w:color="auto"/>
        <w:left w:val="none" w:sz="0" w:space="0" w:color="auto"/>
        <w:bottom w:val="none" w:sz="0" w:space="0" w:color="auto"/>
        <w:right w:val="none" w:sz="0" w:space="0" w:color="auto"/>
      </w:divBdr>
    </w:div>
    <w:div w:id="164712517">
      <w:bodyDiv w:val="1"/>
      <w:marLeft w:val="0"/>
      <w:marRight w:val="0"/>
      <w:marTop w:val="0"/>
      <w:marBottom w:val="0"/>
      <w:divBdr>
        <w:top w:val="none" w:sz="0" w:space="0" w:color="auto"/>
        <w:left w:val="none" w:sz="0" w:space="0" w:color="auto"/>
        <w:bottom w:val="none" w:sz="0" w:space="0" w:color="auto"/>
        <w:right w:val="none" w:sz="0" w:space="0" w:color="auto"/>
      </w:divBdr>
    </w:div>
    <w:div w:id="191962531">
      <w:bodyDiv w:val="1"/>
      <w:marLeft w:val="0"/>
      <w:marRight w:val="0"/>
      <w:marTop w:val="0"/>
      <w:marBottom w:val="0"/>
      <w:divBdr>
        <w:top w:val="none" w:sz="0" w:space="0" w:color="auto"/>
        <w:left w:val="none" w:sz="0" w:space="0" w:color="auto"/>
        <w:bottom w:val="none" w:sz="0" w:space="0" w:color="auto"/>
        <w:right w:val="none" w:sz="0" w:space="0" w:color="auto"/>
      </w:divBdr>
    </w:div>
    <w:div w:id="200438597">
      <w:bodyDiv w:val="1"/>
      <w:marLeft w:val="0"/>
      <w:marRight w:val="0"/>
      <w:marTop w:val="0"/>
      <w:marBottom w:val="0"/>
      <w:divBdr>
        <w:top w:val="none" w:sz="0" w:space="0" w:color="auto"/>
        <w:left w:val="none" w:sz="0" w:space="0" w:color="auto"/>
        <w:bottom w:val="none" w:sz="0" w:space="0" w:color="auto"/>
        <w:right w:val="none" w:sz="0" w:space="0" w:color="auto"/>
      </w:divBdr>
    </w:div>
    <w:div w:id="203518444">
      <w:bodyDiv w:val="1"/>
      <w:marLeft w:val="0"/>
      <w:marRight w:val="0"/>
      <w:marTop w:val="0"/>
      <w:marBottom w:val="0"/>
      <w:divBdr>
        <w:top w:val="none" w:sz="0" w:space="0" w:color="auto"/>
        <w:left w:val="none" w:sz="0" w:space="0" w:color="auto"/>
        <w:bottom w:val="none" w:sz="0" w:space="0" w:color="auto"/>
        <w:right w:val="none" w:sz="0" w:space="0" w:color="auto"/>
      </w:divBdr>
    </w:div>
    <w:div w:id="368073084">
      <w:bodyDiv w:val="1"/>
      <w:marLeft w:val="0"/>
      <w:marRight w:val="0"/>
      <w:marTop w:val="0"/>
      <w:marBottom w:val="0"/>
      <w:divBdr>
        <w:top w:val="none" w:sz="0" w:space="0" w:color="auto"/>
        <w:left w:val="none" w:sz="0" w:space="0" w:color="auto"/>
        <w:bottom w:val="none" w:sz="0" w:space="0" w:color="auto"/>
        <w:right w:val="none" w:sz="0" w:space="0" w:color="auto"/>
      </w:divBdr>
    </w:div>
    <w:div w:id="463039150">
      <w:bodyDiv w:val="1"/>
      <w:marLeft w:val="0"/>
      <w:marRight w:val="0"/>
      <w:marTop w:val="0"/>
      <w:marBottom w:val="0"/>
      <w:divBdr>
        <w:top w:val="none" w:sz="0" w:space="0" w:color="auto"/>
        <w:left w:val="none" w:sz="0" w:space="0" w:color="auto"/>
        <w:bottom w:val="none" w:sz="0" w:space="0" w:color="auto"/>
        <w:right w:val="none" w:sz="0" w:space="0" w:color="auto"/>
      </w:divBdr>
    </w:div>
    <w:div w:id="510606819">
      <w:bodyDiv w:val="1"/>
      <w:marLeft w:val="0"/>
      <w:marRight w:val="0"/>
      <w:marTop w:val="0"/>
      <w:marBottom w:val="0"/>
      <w:divBdr>
        <w:top w:val="none" w:sz="0" w:space="0" w:color="auto"/>
        <w:left w:val="none" w:sz="0" w:space="0" w:color="auto"/>
        <w:bottom w:val="none" w:sz="0" w:space="0" w:color="auto"/>
        <w:right w:val="none" w:sz="0" w:space="0" w:color="auto"/>
      </w:divBdr>
    </w:div>
    <w:div w:id="518814209">
      <w:bodyDiv w:val="1"/>
      <w:marLeft w:val="0"/>
      <w:marRight w:val="0"/>
      <w:marTop w:val="0"/>
      <w:marBottom w:val="0"/>
      <w:divBdr>
        <w:top w:val="none" w:sz="0" w:space="0" w:color="auto"/>
        <w:left w:val="none" w:sz="0" w:space="0" w:color="auto"/>
        <w:bottom w:val="none" w:sz="0" w:space="0" w:color="auto"/>
        <w:right w:val="none" w:sz="0" w:space="0" w:color="auto"/>
      </w:divBdr>
    </w:div>
    <w:div w:id="643001110">
      <w:bodyDiv w:val="1"/>
      <w:marLeft w:val="0"/>
      <w:marRight w:val="0"/>
      <w:marTop w:val="0"/>
      <w:marBottom w:val="0"/>
      <w:divBdr>
        <w:top w:val="none" w:sz="0" w:space="0" w:color="auto"/>
        <w:left w:val="none" w:sz="0" w:space="0" w:color="auto"/>
        <w:bottom w:val="none" w:sz="0" w:space="0" w:color="auto"/>
        <w:right w:val="none" w:sz="0" w:space="0" w:color="auto"/>
      </w:divBdr>
    </w:div>
    <w:div w:id="714503783">
      <w:bodyDiv w:val="1"/>
      <w:marLeft w:val="0"/>
      <w:marRight w:val="0"/>
      <w:marTop w:val="0"/>
      <w:marBottom w:val="0"/>
      <w:divBdr>
        <w:top w:val="none" w:sz="0" w:space="0" w:color="auto"/>
        <w:left w:val="none" w:sz="0" w:space="0" w:color="auto"/>
        <w:bottom w:val="none" w:sz="0" w:space="0" w:color="auto"/>
        <w:right w:val="none" w:sz="0" w:space="0" w:color="auto"/>
      </w:divBdr>
    </w:div>
    <w:div w:id="750661068">
      <w:bodyDiv w:val="1"/>
      <w:marLeft w:val="0"/>
      <w:marRight w:val="0"/>
      <w:marTop w:val="0"/>
      <w:marBottom w:val="0"/>
      <w:divBdr>
        <w:top w:val="none" w:sz="0" w:space="0" w:color="auto"/>
        <w:left w:val="none" w:sz="0" w:space="0" w:color="auto"/>
        <w:bottom w:val="none" w:sz="0" w:space="0" w:color="auto"/>
        <w:right w:val="none" w:sz="0" w:space="0" w:color="auto"/>
      </w:divBdr>
    </w:div>
    <w:div w:id="818351493">
      <w:bodyDiv w:val="1"/>
      <w:marLeft w:val="0"/>
      <w:marRight w:val="0"/>
      <w:marTop w:val="0"/>
      <w:marBottom w:val="0"/>
      <w:divBdr>
        <w:top w:val="none" w:sz="0" w:space="0" w:color="auto"/>
        <w:left w:val="none" w:sz="0" w:space="0" w:color="auto"/>
        <w:bottom w:val="none" w:sz="0" w:space="0" w:color="auto"/>
        <w:right w:val="none" w:sz="0" w:space="0" w:color="auto"/>
      </w:divBdr>
    </w:div>
    <w:div w:id="896361056">
      <w:bodyDiv w:val="1"/>
      <w:marLeft w:val="0"/>
      <w:marRight w:val="0"/>
      <w:marTop w:val="0"/>
      <w:marBottom w:val="0"/>
      <w:divBdr>
        <w:top w:val="none" w:sz="0" w:space="0" w:color="auto"/>
        <w:left w:val="none" w:sz="0" w:space="0" w:color="auto"/>
        <w:bottom w:val="none" w:sz="0" w:space="0" w:color="auto"/>
        <w:right w:val="none" w:sz="0" w:space="0" w:color="auto"/>
      </w:divBdr>
    </w:div>
    <w:div w:id="970593215">
      <w:bodyDiv w:val="1"/>
      <w:marLeft w:val="0"/>
      <w:marRight w:val="0"/>
      <w:marTop w:val="0"/>
      <w:marBottom w:val="0"/>
      <w:divBdr>
        <w:top w:val="none" w:sz="0" w:space="0" w:color="auto"/>
        <w:left w:val="none" w:sz="0" w:space="0" w:color="auto"/>
        <w:bottom w:val="none" w:sz="0" w:space="0" w:color="auto"/>
        <w:right w:val="none" w:sz="0" w:space="0" w:color="auto"/>
      </w:divBdr>
    </w:div>
    <w:div w:id="1011375826">
      <w:bodyDiv w:val="1"/>
      <w:marLeft w:val="0"/>
      <w:marRight w:val="0"/>
      <w:marTop w:val="0"/>
      <w:marBottom w:val="0"/>
      <w:divBdr>
        <w:top w:val="none" w:sz="0" w:space="0" w:color="auto"/>
        <w:left w:val="none" w:sz="0" w:space="0" w:color="auto"/>
        <w:bottom w:val="none" w:sz="0" w:space="0" w:color="auto"/>
        <w:right w:val="none" w:sz="0" w:space="0" w:color="auto"/>
      </w:divBdr>
    </w:div>
    <w:div w:id="1020669912">
      <w:bodyDiv w:val="1"/>
      <w:marLeft w:val="0"/>
      <w:marRight w:val="0"/>
      <w:marTop w:val="0"/>
      <w:marBottom w:val="0"/>
      <w:divBdr>
        <w:top w:val="none" w:sz="0" w:space="0" w:color="auto"/>
        <w:left w:val="none" w:sz="0" w:space="0" w:color="auto"/>
        <w:bottom w:val="none" w:sz="0" w:space="0" w:color="auto"/>
        <w:right w:val="none" w:sz="0" w:space="0" w:color="auto"/>
      </w:divBdr>
    </w:div>
    <w:div w:id="1055162361">
      <w:bodyDiv w:val="1"/>
      <w:marLeft w:val="0"/>
      <w:marRight w:val="0"/>
      <w:marTop w:val="0"/>
      <w:marBottom w:val="0"/>
      <w:divBdr>
        <w:top w:val="none" w:sz="0" w:space="0" w:color="auto"/>
        <w:left w:val="none" w:sz="0" w:space="0" w:color="auto"/>
        <w:bottom w:val="none" w:sz="0" w:space="0" w:color="auto"/>
        <w:right w:val="none" w:sz="0" w:space="0" w:color="auto"/>
      </w:divBdr>
    </w:div>
    <w:div w:id="1082065103">
      <w:bodyDiv w:val="1"/>
      <w:marLeft w:val="0"/>
      <w:marRight w:val="0"/>
      <w:marTop w:val="0"/>
      <w:marBottom w:val="0"/>
      <w:divBdr>
        <w:top w:val="none" w:sz="0" w:space="0" w:color="auto"/>
        <w:left w:val="none" w:sz="0" w:space="0" w:color="auto"/>
        <w:bottom w:val="none" w:sz="0" w:space="0" w:color="auto"/>
        <w:right w:val="none" w:sz="0" w:space="0" w:color="auto"/>
      </w:divBdr>
    </w:div>
    <w:div w:id="1107232474">
      <w:bodyDiv w:val="1"/>
      <w:marLeft w:val="0"/>
      <w:marRight w:val="0"/>
      <w:marTop w:val="0"/>
      <w:marBottom w:val="0"/>
      <w:divBdr>
        <w:top w:val="none" w:sz="0" w:space="0" w:color="auto"/>
        <w:left w:val="none" w:sz="0" w:space="0" w:color="auto"/>
        <w:bottom w:val="none" w:sz="0" w:space="0" w:color="auto"/>
        <w:right w:val="none" w:sz="0" w:space="0" w:color="auto"/>
      </w:divBdr>
    </w:div>
    <w:div w:id="1298032261">
      <w:bodyDiv w:val="1"/>
      <w:marLeft w:val="0"/>
      <w:marRight w:val="0"/>
      <w:marTop w:val="0"/>
      <w:marBottom w:val="0"/>
      <w:divBdr>
        <w:top w:val="none" w:sz="0" w:space="0" w:color="auto"/>
        <w:left w:val="none" w:sz="0" w:space="0" w:color="auto"/>
        <w:bottom w:val="none" w:sz="0" w:space="0" w:color="auto"/>
        <w:right w:val="none" w:sz="0" w:space="0" w:color="auto"/>
      </w:divBdr>
    </w:div>
    <w:div w:id="1322467485">
      <w:bodyDiv w:val="1"/>
      <w:marLeft w:val="0"/>
      <w:marRight w:val="0"/>
      <w:marTop w:val="0"/>
      <w:marBottom w:val="0"/>
      <w:divBdr>
        <w:top w:val="none" w:sz="0" w:space="0" w:color="auto"/>
        <w:left w:val="none" w:sz="0" w:space="0" w:color="auto"/>
        <w:bottom w:val="none" w:sz="0" w:space="0" w:color="auto"/>
        <w:right w:val="none" w:sz="0" w:space="0" w:color="auto"/>
      </w:divBdr>
    </w:div>
    <w:div w:id="1323238994">
      <w:bodyDiv w:val="1"/>
      <w:marLeft w:val="0"/>
      <w:marRight w:val="0"/>
      <w:marTop w:val="0"/>
      <w:marBottom w:val="0"/>
      <w:divBdr>
        <w:top w:val="none" w:sz="0" w:space="0" w:color="auto"/>
        <w:left w:val="none" w:sz="0" w:space="0" w:color="auto"/>
        <w:bottom w:val="none" w:sz="0" w:space="0" w:color="auto"/>
        <w:right w:val="none" w:sz="0" w:space="0" w:color="auto"/>
      </w:divBdr>
    </w:div>
    <w:div w:id="1404795639">
      <w:bodyDiv w:val="1"/>
      <w:marLeft w:val="0"/>
      <w:marRight w:val="0"/>
      <w:marTop w:val="0"/>
      <w:marBottom w:val="0"/>
      <w:divBdr>
        <w:top w:val="none" w:sz="0" w:space="0" w:color="auto"/>
        <w:left w:val="none" w:sz="0" w:space="0" w:color="auto"/>
        <w:bottom w:val="none" w:sz="0" w:space="0" w:color="auto"/>
        <w:right w:val="none" w:sz="0" w:space="0" w:color="auto"/>
      </w:divBdr>
    </w:div>
    <w:div w:id="1552810761">
      <w:bodyDiv w:val="1"/>
      <w:marLeft w:val="0"/>
      <w:marRight w:val="0"/>
      <w:marTop w:val="0"/>
      <w:marBottom w:val="0"/>
      <w:divBdr>
        <w:top w:val="none" w:sz="0" w:space="0" w:color="auto"/>
        <w:left w:val="none" w:sz="0" w:space="0" w:color="auto"/>
        <w:bottom w:val="none" w:sz="0" w:space="0" w:color="auto"/>
        <w:right w:val="none" w:sz="0" w:space="0" w:color="auto"/>
      </w:divBdr>
    </w:div>
    <w:div w:id="1622834271">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 w:id="1689868721">
      <w:bodyDiv w:val="1"/>
      <w:marLeft w:val="0"/>
      <w:marRight w:val="0"/>
      <w:marTop w:val="0"/>
      <w:marBottom w:val="0"/>
      <w:divBdr>
        <w:top w:val="none" w:sz="0" w:space="0" w:color="auto"/>
        <w:left w:val="none" w:sz="0" w:space="0" w:color="auto"/>
        <w:bottom w:val="none" w:sz="0" w:space="0" w:color="auto"/>
        <w:right w:val="none" w:sz="0" w:space="0" w:color="auto"/>
      </w:divBdr>
    </w:div>
    <w:div w:id="1722245642">
      <w:bodyDiv w:val="1"/>
      <w:marLeft w:val="0"/>
      <w:marRight w:val="0"/>
      <w:marTop w:val="0"/>
      <w:marBottom w:val="0"/>
      <w:divBdr>
        <w:top w:val="none" w:sz="0" w:space="0" w:color="auto"/>
        <w:left w:val="none" w:sz="0" w:space="0" w:color="auto"/>
        <w:bottom w:val="none" w:sz="0" w:space="0" w:color="auto"/>
        <w:right w:val="none" w:sz="0" w:space="0" w:color="auto"/>
      </w:divBdr>
    </w:div>
    <w:div w:id="1814369906">
      <w:bodyDiv w:val="1"/>
      <w:marLeft w:val="0"/>
      <w:marRight w:val="0"/>
      <w:marTop w:val="0"/>
      <w:marBottom w:val="0"/>
      <w:divBdr>
        <w:top w:val="none" w:sz="0" w:space="0" w:color="auto"/>
        <w:left w:val="none" w:sz="0" w:space="0" w:color="auto"/>
        <w:bottom w:val="none" w:sz="0" w:space="0" w:color="auto"/>
        <w:right w:val="none" w:sz="0" w:space="0" w:color="auto"/>
      </w:divBdr>
    </w:div>
    <w:div w:id="1816295601">
      <w:bodyDiv w:val="1"/>
      <w:marLeft w:val="0"/>
      <w:marRight w:val="0"/>
      <w:marTop w:val="0"/>
      <w:marBottom w:val="0"/>
      <w:divBdr>
        <w:top w:val="none" w:sz="0" w:space="0" w:color="auto"/>
        <w:left w:val="none" w:sz="0" w:space="0" w:color="auto"/>
        <w:bottom w:val="none" w:sz="0" w:space="0" w:color="auto"/>
        <w:right w:val="none" w:sz="0" w:space="0" w:color="auto"/>
      </w:divBdr>
    </w:div>
    <w:div w:id="1866404068">
      <w:bodyDiv w:val="1"/>
      <w:marLeft w:val="0"/>
      <w:marRight w:val="0"/>
      <w:marTop w:val="0"/>
      <w:marBottom w:val="0"/>
      <w:divBdr>
        <w:top w:val="none" w:sz="0" w:space="0" w:color="auto"/>
        <w:left w:val="none" w:sz="0" w:space="0" w:color="auto"/>
        <w:bottom w:val="none" w:sz="0" w:space="0" w:color="auto"/>
        <w:right w:val="none" w:sz="0" w:space="0" w:color="auto"/>
      </w:divBdr>
    </w:div>
    <w:div w:id="1884125841">
      <w:bodyDiv w:val="1"/>
      <w:marLeft w:val="0"/>
      <w:marRight w:val="0"/>
      <w:marTop w:val="0"/>
      <w:marBottom w:val="0"/>
      <w:divBdr>
        <w:top w:val="none" w:sz="0" w:space="0" w:color="auto"/>
        <w:left w:val="none" w:sz="0" w:space="0" w:color="auto"/>
        <w:bottom w:val="none" w:sz="0" w:space="0" w:color="auto"/>
        <w:right w:val="none" w:sz="0" w:space="0" w:color="auto"/>
      </w:divBdr>
    </w:div>
    <w:div w:id="1906720836">
      <w:bodyDiv w:val="1"/>
      <w:marLeft w:val="0"/>
      <w:marRight w:val="0"/>
      <w:marTop w:val="0"/>
      <w:marBottom w:val="0"/>
      <w:divBdr>
        <w:top w:val="none" w:sz="0" w:space="0" w:color="auto"/>
        <w:left w:val="none" w:sz="0" w:space="0" w:color="auto"/>
        <w:bottom w:val="none" w:sz="0" w:space="0" w:color="auto"/>
        <w:right w:val="none" w:sz="0" w:space="0" w:color="auto"/>
      </w:divBdr>
    </w:div>
    <w:div w:id="1935816813">
      <w:bodyDiv w:val="1"/>
      <w:marLeft w:val="0"/>
      <w:marRight w:val="0"/>
      <w:marTop w:val="0"/>
      <w:marBottom w:val="0"/>
      <w:divBdr>
        <w:top w:val="none" w:sz="0" w:space="0" w:color="auto"/>
        <w:left w:val="none" w:sz="0" w:space="0" w:color="auto"/>
        <w:bottom w:val="none" w:sz="0" w:space="0" w:color="auto"/>
        <w:right w:val="none" w:sz="0" w:space="0" w:color="auto"/>
      </w:divBdr>
    </w:div>
    <w:div w:id="1943412446">
      <w:bodyDiv w:val="1"/>
      <w:marLeft w:val="0"/>
      <w:marRight w:val="0"/>
      <w:marTop w:val="0"/>
      <w:marBottom w:val="0"/>
      <w:divBdr>
        <w:top w:val="none" w:sz="0" w:space="0" w:color="auto"/>
        <w:left w:val="none" w:sz="0" w:space="0" w:color="auto"/>
        <w:bottom w:val="none" w:sz="0" w:space="0" w:color="auto"/>
        <w:right w:val="none" w:sz="0" w:space="0" w:color="auto"/>
      </w:divBdr>
    </w:div>
    <w:div w:id="1967084173">
      <w:bodyDiv w:val="1"/>
      <w:marLeft w:val="0"/>
      <w:marRight w:val="0"/>
      <w:marTop w:val="0"/>
      <w:marBottom w:val="0"/>
      <w:divBdr>
        <w:top w:val="none" w:sz="0" w:space="0" w:color="auto"/>
        <w:left w:val="none" w:sz="0" w:space="0" w:color="auto"/>
        <w:bottom w:val="none" w:sz="0" w:space="0" w:color="auto"/>
        <w:right w:val="none" w:sz="0" w:space="0" w:color="auto"/>
      </w:divBdr>
    </w:div>
    <w:div w:id="1984461944">
      <w:bodyDiv w:val="1"/>
      <w:marLeft w:val="0"/>
      <w:marRight w:val="0"/>
      <w:marTop w:val="0"/>
      <w:marBottom w:val="0"/>
      <w:divBdr>
        <w:top w:val="none" w:sz="0" w:space="0" w:color="auto"/>
        <w:left w:val="none" w:sz="0" w:space="0" w:color="auto"/>
        <w:bottom w:val="none" w:sz="0" w:space="0" w:color="auto"/>
        <w:right w:val="none" w:sz="0" w:space="0" w:color="auto"/>
      </w:divBdr>
    </w:div>
    <w:div w:id="1994794511">
      <w:bodyDiv w:val="1"/>
      <w:marLeft w:val="0"/>
      <w:marRight w:val="0"/>
      <w:marTop w:val="0"/>
      <w:marBottom w:val="0"/>
      <w:divBdr>
        <w:top w:val="none" w:sz="0" w:space="0" w:color="auto"/>
        <w:left w:val="none" w:sz="0" w:space="0" w:color="auto"/>
        <w:bottom w:val="none" w:sz="0" w:space="0" w:color="auto"/>
        <w:right w:val="none" w:sz="0" w:space="0" w:color="auto"/>
      </w:divBdr>
    </w:div>
    <w:div w:id="1999192415">
      <w:bodyDiv w:val="1"/>
      <w:marLeft w:val="0"/>
      <w:marRight w:val="0"/>
      <w:marTop w:val="0"/>
      <w:marBottom w:val="0"/>
      <w:divBdr>
        <w:top w:val="none" w:sz="0" w:space="0" w:color="auto"/>
        <w:left w:val="none" w:sz="0" w:space="0" w:color="auto"/>
        <w:bottom w:val="none" w:sz="0" w:space="0" w:color="auto"/>
        <w:right w:val="none" w:sz="0" w:space="0" w:color="auto"/>
      </w:divBdr>
    </w:div>
    <w:div w:id="2006084383">
      <w:bodyDiv w:val="1"/>
      <w:marLeft w:val="0"/>
      <w:marRight w:val="0"/>
      <w:marTop w:val="0"/>
      <w:marBottom w:val="0"/>
      <w:divBdr>
        <w:top w:val="none" w:sz="0" w:space="0" w:color="auto"/>
        <w:left w:val="none" w:sz="0" w:space="0" w:color="auto"/>
        <w:bottom w:val="none" w:sz="0" w:space="0" w:color="auto"/>
        <w:right w:val="none" w:sz="0" w:space="0" w:color="auto"/>
      </w:divBdr>
    </w:div>
    <w:div w:id="2035110145">
      <w:bodyDiv w:val="1"/>
      <w:marLeft w:val="0"/>
      <w:marRight w:val="0"/>
      <w:marTop w:val="0"/>
      <w:marBottom w:val="0"/>
      <w:divBdr>
        <w:top w:val="none" w:sz="0" w:space="0" w:color="auto"/>
        <w:left w:val="none" w:sz="0" w:space="0" w:color="auto"/>
        <w:bottom w:val="none" w:sz="0" w:space="0" w:color="auto"/>
        <w:right w:val="none" w:sz="0" w:space="0" w:color="auto"/>
      </w:divBdr>
    </w:div>
    <w:div w:id="2053772273">
      <w:bodyDiv w:val="1"/>
      <w:marLeft w:val="0"/>
      <w:marRight w:val="0"/>
      <w:marTop w:val="0"/>
      <w:marBottom w:val="0"/>
      <w:divBdr>
        <w:top w:val="none" w:sz="0" w:space="0" w:color="auto"/>
        <w:left w:val="none" w:sz="0" w:space="0" w:color="auto"/>
        <w:bottom w:val="none" w:sz="0" w:space="0" w:color="auto"/>
        <w:right w:val="none" w:sz="0" w:space="0" w:color="auto"/>
      </w:divBdr>
    </w:div>
    <w:div w:id="2084643549">
      <w:bodyDiv w:val="1"/>
      <w:marLeft w:val="0"/>
      <w:marRight w:val="0"/>
      <w:marTop w:val="0"/>
      <w:marBottom w:val="0"/>
      <w:divBdr>
        <w:top w:val="none" w:sz="0" w:space="0" w:color="auto"/>
        <w:left w:val="none" w:sz="0" w:space="0" w:color="auto"/>
        <w:bottom w:val="none" w:sz="0" w:space="0" w:color="auto"/>
        <w:right w:val="none" w:sz="0" w:space="0" w:color="auto"/>
      </w:divBdr>
    </w:div>
    <w:div w:id="2099713716">
      <w:bodyDiv w:val="1"/>
      <w:marLeft w:val="0"/>
      <w:marRight w:val="0"/>
      <w:marTop w:val="0"/>
      <w:marBottom w:val="0"/>
      <w:divBdr>
        <w:top w:val="none" w:sz="0" w:space="0" w:color="auto"/>
        <w:left w:val="none" w:sz="0" w:space="0" w:color="auto"/>
        <w:bottom w:val="none" w:sz="0" w:space="0" w:color="auto"/>
        <w:right w:val="none" w:sz="0" w:space="0" w:color="auto"/>
      </w:divBdr>
    </w:div>
    <w:div w:id="211964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sipa.marakovic@revizija.hr" TargetMode="External"/><Relationship Id="rId4" Type="http://schemas.openxmlformats.org/officeDocument/2006/relationships/settings" Target="settings.xml"/><Relationship Id="rId9" Type="http://schemas.openxmlformats.org/officeDocument/2006/relationships/hyperlink" Target="http://www.revizij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5B6A-3508-430D-B89B-13A1C58F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3752</Words>
  <Characters>21387</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Maraković</dc:creator>
  <cp:lastModifiedBy>Josipa Maraković</cp:lastModifiedBy>
  <cp:revision>12</cp:revision>
  <cp:lastPrinted>2025-10-28T10:03:00Z</cp:lastPrinted>
  <dcterms:created xsi:type="dcterms:W3CDTF">2025-10-28T09:44:00Z</dcterms:created>
  <dcterms:modified xsi:type="dcterms:W3CDTF">2025-10-28T11:11:00Z</dcterms:modified>
</cp:coreProperties>
</file>